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</w:p>
    <w:p>
      <w:pPr>
        <w:spacing w:before="156" w:beforeLines="50"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静安区教育局202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年下半年工作补充要点</w:t>
      </w:r>
      <w:bookmarkEnd w:id="0"/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年下半年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，静安区教育局将</w:t>
      </w:r>
      <w:r>
        <w:rPr>
          <w:rFonts w:ascii="Times New Roman" w:hAnsi="Times New Roman" w:eastAsia="仿宋_GB2312" w:cs="Times New Roman"/>
          <w:sz w:val="32"/>
          <w:szCs w:val="32"/>
        </w:rPr>
        <w:t>继续以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习近平新时代中国特色社会主义思想为指导，深入学习贯彻落实全国</w:t>
      </w:r>
      <w:r>
        <w:rPr>
          <w:rFonts w:ascii="Times New Roman" w:hAnsi="Times New Roman" w:eastAsia="仿宋_GB2312" w:cs="Times New Roman"/>
          <w:sz w:val="32"/>
          <w:szCs w:val="32"/>
        </w:rPr>
        <w:t>教育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大会</w:t>
      </w:r>
      <w:r>
        <w:rPr>
          <w:rFonts w:ascii="Times New Roman" w:hAnsi="Times New Roman" w:eastAsia="仿宋_GB2312" w:cs="Times New Roman"/>
          <w:sz w:val="32"/>
          <w:szCs w:val="32"/>
        </w:rPr>
        <w:t>精神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、上海市教育大会精神、静安区教育大会精神，加快推进教育现代化、建设教育强区、办好人民满意的高质量教育。为确保完成年初的工作目标，根据既定各项工作任务，结合实际情况，特制订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下半年教育工作补充要点：</w:t>
      </w:r>
    </w:p>
    <w:p>
      <w:pPr>
        <w:spacing w:line="560" w:lineRule="exact"/>
        <w:ind w:left="64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一、筑牢政治根基，以党建引领赋能教育发展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楷体" w:eastAsia="仿宋_GB2312" w:cs="Times New Roman"/>
          <w:sz w:val="32"/>
          <w:szCs w:val="32"/>
        </w:rPr>
        <w:t>持续推进党建与业务深度融合。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积极打造“桃李党建+”教育品牌，推进党建创新实践项目研究，精心培育“党建+思政”“党建+科研”“党建+人才”等品牌，推进“一校一品”“一支部一特色”建设，发布“静邻·桃李”静安教育党建品牌。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着力锻造高素质专业化干部队伍。开展分层分类培训，重点做好“静安区第四期青年教育人才培训班”（中层）、“新任校级干部培训班”（校级）和“中学教学副校长培训班”（专题）。充分利用优质培训资源，开展“质量提升和规范管理专项培训”等项目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3.积极推进新时代创新型教师队伍建设。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深入实施人才新政，进一步完善人才引育机制，加大人才培养力度。继续做好见习期教师规范化培训工作指导与管理，扎实推动“青年菁英教师计划”“职初教师胜任力发展专项行动”“中青年教师团队发展计划”“515教师培养工程”“学科带头人”“教育拔尖人才培养”等项目。深化推进“五期五级”教师分层进阶培养工作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聚力深化思想文化宣传引领作用。围绕“以教育家精神铸魂强师，谱写教育强国建设华章”主题开展第41个教师节活动，开展师德师风月活动。完善季度网络舆情预警机制，落实网络舆情风险防控和处置工作。开展网络安全主题教育活动，推动未成年人思想道德建设。维护好“静安教育”政务新媒体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二、坚持五育并举，以素质教育助力学生成长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落实立德树人。深化“十馆一路联百校”联合育人机制，打造学校课堂与场馆课堂互通、学校教师与校外导师互联的静安教育“红色106”大思政课实践育人品牌。加快研发红色资源学习应用手册。制定学校“德育校历”。落实全国学校家庭社会协同育人实验区建设要求，发布区域教联体实施方案，探索社教同频扩优提质行动等项目。建设心理健康教育“医教结合”机制。组织开展上海市“虹口杯”静安区中小学班主任基本功大赛。积极参加长三角中小学班主任基本功展示交流活动。做好全国思政课教师、班主任基本功大赛入选教师参赛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6.加强体育工作。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召开静安区深化学校体育工作高质量发展推进会。创新构建智慧体育综合服务平台，激活学校体育内生改进动能，增强以体育人成效。推进静安特色学生体质健康评价体系建设、青少年运动技能等级测试及项目标准建设。编制静安区校园足球特色校建设指导手册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7.提升科学素养。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参展第二十五届中国国际工业博览会。探索人工智能赋能，实现科学教育资源与课堂深度融合。组织“科学教育全学科渗透”研讨，开展学科融合设计。探索“科学地图应用示范”，形成应用实践典型案例。探索开发具有静安特色的科创课程和实践基地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8.做好卫生工作。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用好学校食品安全信息管理平台。开展健康副校（园）长试点工作。加强近视防控监测建档，落实干预举措，普及防控知识。深化医教结合。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9.深化美育浸润。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深化区学生艺术团、区学校艺术联盟建设。总结“全国第八届中小学生艺术展演活动”工作。探索数字技术融入美育教育教学路径。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三、聚焦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内涵品质，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以改革创新激活发展动力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10.科学编制教育“十五五”规划。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系统总结“十四五”重大科研项目，完善课题结题报告，编撰课题成果集，召开成果报告会。全面评估教育“十四五”规划实施情况并形成评估报告。加强与华东师范大学合作，编制教育“十五五”规划，并围绕学生身心健康发展、人工智能+、人才队伍建设、高中教育和教育国际化等主题编制专项规划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11.完善“双减”长效机制。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开展“双新”背景下课后服务迭代升级项目研究，充分发挥红色资源育人功能，设计符合学生年龄特点的综合实践活动。优化作业管理，加强作业研究，提升作业育人水平。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12.优化集团办学。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支持各教育集团以紧密型教育集团建设为抓手，进一步促进集团相对统一管理、民主决策和高效互动，完善教师柔性流动机制，优化绩效评估办法，发挥示范引领效应。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四、深化轻负高质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以优质均衡涵养教育生态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13.建设公平优质学前教育与托育服务体系。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总结教育部保教质量提升实验区建设经验，深入推进“静安玩+”品牌研究，创建数字平台，赋能教研创新与“玩研型”教师专业发展。全面启动托育服务“萌芽工程”，推进“宝宝屋”扩优提质行动，打造“1+X”托班品牌，开展教养医课题研究，探索商圈、楼宇嵌入式托育服务新模式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14.深化小学课堂教学与评价改革。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推进“双新”链动项目研究，探索“双新”课堂教学新样态变革。组织学科项目化学习市级展示活动。进一步完善支持学生“活力发展”的学校保障指标和评价体系。初步构建小学“学校活力”评价指标常模。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15.促进初中优质均衡发展。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持续推动学校围绕提升学生核心素养开展“双新”链动项目研究。创新推进“强校工程”。指导新优质学校市级项目校积极开展项目研究。积极探索九年一贯制学校高质量办学模式，实施第三轮义务教育“城乡学校携手共进计划”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16.探索高中分类协同发展新机制。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扎实开展市普通高中高质量发展先导性研究与实践项目，积极探索有益经验，发挥示范辐射作用。持续推进“静安区中学学科高地建设项目”。推进高中创新实验室跨校游学项目。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17.深化职业教育特色发展。</w:t>
      </w:r>
      <w:r>
        <w:rPr>
          <w:rFonts w:hint="eastAsia" w:ascii="仿宋_GB2312" w:hAnsi="Times New Roman" w:eastAsia="仿宋_GB2312" w:cs="Times New Roman"/>
          <w:bCs/>
          <w:color w:val="000000"/>
          <w:sz w:val="32"/>
          <w:szCs w:val="32"/>
        </w:rPr>
        <w:t>持续深化教育教学改革，打造具有影响力的专业标准和课程标准，进一步深化校企合作产教融合。结合区域产业和发展定位，稳妥推进中职校办学条件达标工程。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18.推动民办教育可持续发展。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落实民办义务教育学校生均经费，配合相关部门完成部分民办中小学学费标准调整相关工作，进一步规范民办学校招生、课程教学改革等工作。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19.推进融合教育创新发展。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迎接上海市第四轮特教三年行动计划终期评估。深化推进融合教育实践创新区建设。持续开展教师融合教育叙事行动研究，形成融合教育静安案例。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20.完善终身教育内涵建设。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继续开展老年数字教育进社区行动。加强数字化学习资源开发与供给。创新智慧学习场景应用模式。组织大学生参加社区创课大赛。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五、强化从严规范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，以机制创新提升治理效能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21.推进依法治教。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深化“普法‘静’行时 共筑好‘未’来”法治教育品牌，推进分学段精准普法，开展宪法宣传周等活动。开展涉外青少年法治宣传研究，探索利用AI技术增强法治教育针对性。开展“涉校矛盾调处化解专项行动”。开展未成年人学校保护工作优秀案例征集与交流活动。落实静安区专门教育工作机制，开展专门教育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22.加强校园安全防范。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持续落实“护校安园”专项行动。推进交通安全提升行动，进一步完善校门硬质防冲撞设施。强化校园消防安全管理。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23.持续落实规范管理。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加强教辅、校服、校园餐专项整治工作常态化管理，夯实制度建设，严密监督管理，创新教学改革。科学合理安排作息时间，加强学校课程实施方案管理。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24.推进教育督导。继续开展党政融合发展性督导工作。加强督学队伍建设，探索“教育统筹督导召集制”，建设“督学之家”。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25.提升对外开放水平。拓宽教育对外交流合作平台，积极申办2026年上海国际友好城市青少年夏令营。加强与联合国教科文组织教师教育中心合作，聚焦STEM课程、人工智能、跨学科主题学习等领域开展中外教师研修研讨活动。通过项目引领，探索构建基础教育全学段国际化教育体系，不断提升区域教育品质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5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6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mJiMTNmMDExNjRiODdmOGJlMzJlZGQ3Nzc1YTUifQ=="/>
  </w:docVars>
  <w:rsids>
    <w:rsidRoot w:val="2B9A59A4"/>
    <w:rsid w:val="01667673"/>
    <w:rsid w:val="04DA078F"/>
    <w:rsid w:val="0B325CD7"/>
    <w:rsid w:val="185106B2"/>
    <w:rsid w:val="218248D1"/>
    <w:rsid w:val="23435206"/>
    <w:rsid w:val="2A624AA0"/>
    <w:rsid w:val="2B9A59A4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2025-10-17T02:15:00Z</dcterms:created>
  <dc:creator>Willow</dc:creator>
  <cp:lastModifiedBy>Willow</cp:lastModifiedBy>
  <dcterms:modified xsi:type="dcterms:W3CDTF">2025-10-17T02:16:19Z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AFA7BB9FE4C6488BAB27CE6750A2143F_11</vt:lpwstr>
  </property>
</Properties>
</file>