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Times New Roman" w:eastAsia="黑体" w:cs="Times New Roman"/>
          <w:color w:val="000000"/>
          <w:sz w:val="32"/>
          <w:szCs w:val="32"/>
        </w:rPr>
      </w:pPr>
      <w:r>
        <w:rPr>
          <w:rFonts w:hint="eastAsia" w:ascii="黑体" w:hAnsi="Times New Roman" w:eastAsia="黑体" w:cs="Times New Roman"/>
          <w:color w:val="000000"/>
          <w:sz w:val="32"/>
          <w:szCs w:val="32"/>
        </w:rPr>
        <w:t>附件1</w:t>
      </w:r>
    </w:p>
    <w:p>
      <w:pPr>
        <w:overflowPunct w:val="0"/>
        <w:spacing w:line="500" w:lineRule="exact"/>
        <w:jc w:val="center"/>
        <w:rPr>
          <w:rFonts w:hint="eastAsia" w:ascii="方正小标宋_GBK" w:hAnsi="华文中宋" w:eastAsia="方正小标宋_GBK" w:cs="方正小标宋简体"/>
          <w:snapToGrid w:val="0"/>
          <w:color w:val="000000"/>
          <w:spacing w:val="-6"/>
          <w:sz w:val="44"/>
          <w:szCs w:val="44"/>
        </w:rPr>
      </w:pPr>
      <w:r>
        <w:rPr>
          <w:rFonts w:hint="eastAsia" w:ascii="方正小标宋_GBK" w:hAnsi="华文中宋" w:eastAsia="方正小标宋_GBK" w:cs="方正小标宋简体"/>
          <w:snapToGrid w:val="0"/>
          <w:color w:val="000000"/>
          <w:spacing w:val="-6"/>
          <w:sz w:val="44"/>
          <w:szCs w:val="44"/>
        </w:rPr>
        <w:t>2026年中小学生寒假安全提示</w:t>
      </w:r>
    </w:p>
    <w:p>
      <w:pPr>
        <w:overflowPunct w:val="0"/>
        <w:spacing w:line="500" w:lineRule="exact"/>
        <w:jc w:val="center"/>
        <w:rPr>
          <w:rFonts w:ascii="华文中宋" w:hAnsi="华文中宋" w:eastAsia="华文中宋" w:cs="方正小标宋简体"/>
          <w:snapToGrid w:val="0"/>
          <w:color w:val="000000"/>
          <w:spacing w:val="-6"/>
          <w:sz w:val="44"/>
          <w:szCs w:val="44"/>
        </w:rPr>
      </w:pPr>
    </w:p>
    <w:p>
      <w:pPr>
        <w:overflowPunct w:val="0"/>
        <w:spacing w:line="560" w:lineRule="exact"/>
        <w:ind w:firstLine="616" w:firstLineChars="200"/>
        <w:rPr>
          <w:rFonts w:hint="eastAsia" w:ascii="仿宋_GB2312" w:hAnsi="Times New Roman" w:eastAsia="仿宋_GB2312" w:cs="Times New Roman"/>
          <w:snapToGrid w:val="0"/>
          <w:spacing w:val="-6"/>
          <w:sz w:val="32"/>
          <w:szCs w:val="32"/>
        </w:rPr>
      </w:pPr>
      <w:r>
        <w:rPr>
          <w:rFonts w:hint="eastAsia" w:ascii="仿宋_GB2312" w:hAnsi="宋体" w:eastAsia="仿宋_GB2312" w:cs="宋体"/>
          <w:snapToGrid w:val="0"/>
          <w:spacing w:val="-6"/>
          <w:sz w:val="32"/>
          <w:szCs w:val="32"/>
        </w:rPr>
        <w:t>1.</w:t>
      </w:r>
      <w:r>
        <w:rPr>
          <w:rFonts w:hint="eastAsia" w:ascii="仿宋_GB2312" w:hAnsi="黑体" w:eastAsia="仿宋_GB2312" w:cs="黑体"/>
          <w:snapToGrid w:val="0"/>
          <w:spacing w:val="-6"/>
          <w:sz w:val="32"/>
          <w:szCs w:val="32"/>
        </w:rPr>
        <w:t>居家生活讲安全。</w:t>
      </w:r>
      <w:r>
        <w:rPr>
          <w:rFonts w:hint="eastAsia" w:ascii="仿宋_GB2312" w:hAnsi="Times New Roman" w:eastAsia="仿宋_GB2312" w:cs="Times New Roman"/>
          <w:snapToGrid w:val="0"/>
          <w:color w:val="000000"/>
          <w:spacing w:val="-6"/>
          <w:sz w:val="32"/>
          <w:szCs w:val="32"/>
        </w:rPr>
        <w:t>不在阳台或飘窗上玩耍。妥善收纳刀具、药品等危险物品，不随意触碰；不玩插座、开关等电气装置，不私拉乱接电线。谨慎使用取暖设备，远离易燃可燃物，谨防火灾与烫伤风险。外出锁好门户，贵重物品妥善保管。</w:t>
      </w:r>
    </w:p>
    <w:p>
      <w:pPr>
        <w:overflowPunct w:val="0"/>
        <w:spacing w:line="560" w:lineRule="exact"/>
        <w:ind w:firstLine="616" w:firstLineChars="200"/>
        <w:rPr>
          <w:rFonts w:hint="eastAsia" w:ascii="仿宋_GB2312" w:hAnsi="Times New Roman" w:eastAsia="仿宋_GB2312" w:cs="Times New Roman"/>
          <w:snapToGrid w:val="0"/>
          <w:spacing w:val="-6"/>
          <w:sz w:val="32"/>
          <w:szCs w:val="32"/>
        </w:rPr>
      </w:pPr>
      <w:r>
        <w:rPr>
          <w:rFonts w:hint="eastAsia" w:ascii="仿宋_GB2312" w:hAnsi="宋体" w:eastAsia="仿宋_GB2312" w:cs="宋体"/>
          <w:snapToGrid w:val="0"/>
          <w:spacing w:val="-6"/>
          <w:sz w:val="32"/>
          <w:szCs w:val="32"/>
        </w:rPr>
        <w:t>2.</w:t>
      </w:r>
      <w:r>
        <w:rPr>
          <w:rFonts w:hint="eastAsia" w:ascii="仿宋_GB2312" w:hAnsi="黑体" w:eastAsia="仿宋_GB2312" w:cs="黑体"/>
          <w:snapToGrid w:val="0"/>
          <w:spacing w:val="-6"/>
          <w:sz w:val="32"/>
          <w:szCs w:val="32"/>
        </w:rPr>
        <w:t>交通法规必遵守。</w:t>
      </w:r>
      <w:r>
        <w:rPr>
          <w:rFonts w:hint="eastAsia" w:ascii="仿宋_GB2312" w:hAnsi="Times New Roman" w:eastAsia="仿宋_GB2312" w:cs="Times New Roman"/>
          <w:snapToGrid w:val="0"/>
          <w:color w:val="000000"/>
          <w:spacing w:val="-6"/>
          <w:sz w:val="32"/>
          <w:szCs w:val="32"/>
        </w:rPr>
        <w:t>未满12周岁不在道路上骑行自行车，未满16周岁不在道路上骑行电动自行车。乘坐或骑行电动自行车时，应规范佩戴安全头盔。步行或骑行时不看手机、不听音乐、不嬉闹。不要搭乘超载的机动车辆，出行时一定要乘坐有营运资格的公交车和出租车，不能乘坐没有运营资质的“黑车”。乘坐机动车必须系好安全带，自觉遵守公共交通车辆乘车规范。</w:t>
      </w:r>
    </w:p>
    <w:p>
      <w:pPr>
        <w:overflowPunct w:val="0"/>
        <w:spacing w:line="560" w:lineRule="exact"/>
        <w:ind w:firstLine="616" w:firstLineChars="200"/>
        <w:rPr>
          <w:rFonts w:hint="eastAsia" w:ascii="仿宋_GB2312" w:hAnsi="Times New Roman" w:eastAsia="仿宋_GB2312" w:cs="Times New Roman"/>
          <w:snapToGrid w:val="0"/>
          <w:spacing w:val="-6"/>
          <w:sz w:val="32"/>
          <w:szCs w:val="32"/>
        </w:rPr>
      </w:pPr>
      <w:r>
        <w:rPr>
          <w:rFonts w:hint="eastAsia" w:ascii="仿宋_GB2312" w:hAnsi="宋体" w:eastAsia="仿宋_GB2312" w:cs="宋体"/>
          <w:snapToGrid w:val="0"/>
          <w:spacing w:val="-6"/>
          <w:sz w:val="32"/>
          <w:szCs w:val="32"/>
        </w:rPr>
        <w:t>3.</w:t>
      </w:r>
      <w:r>
        <w:rPr>
          <w:rFonts w:hint="eastAsia" w:ascii="仿宋_GB2312" w:hAnsi="黑体" w:eastAsia="仿宋_GB2312" w:cs="黑体"/>
          <w:snapToGrid w:val="0"/>
          <w:spacing w:val="-6"/>
          <w:sz w:val="32"/>
          <w:szCs w:val="32"/>
        </w:rPr>
        <w:t>消防安全记心间。</w:t>
      </w:r>
      <w:r>
        <w:rPr>
          <w:rFonts w:hint="eastAsia" w:ascii="仿宋_GB2312" w:hAnsi="Times New Roman" w:eastAsia="仿宋_GB2312" w:cs="Times New Roman"/>
          <w:snapToGrid w:val="0"/>
          <w:color w:val="000000"/>
          <w:spacing w:val="-6"/>
          <w:sz w:val="32"/>
          <w:szCs w:val="32"/>
        </w:rPr>
        <w:t>不玩火，不携带火种。不在同一插线板上使用多种大功率电器，不用湿手或湿布触摸电器插头、插座。规范使用燃气设备。发现火情立即撤离至安全区域并拨打119报警。</w:t>
      </w:r>
    </w:p>
    <w:p>
      <w:pPr>
        <w:overflowPunct w:val="0"/>
        <w:spacing w:line="560" w:lineRule="exact"/>
        <w:ind w:firstLine="616" w:firstLineChars="200"/>
        <w:rPr>
          <w:rFonts w:hint="eastAsia" w:ascii="仿宋_GB2312" w:hAnsi="Times New Roman" w:eastAsia="仿宋_GB2312" w:cs="Times New Roman"/>
          <w:snapToGrid w:val="0"/>
          <w:spacing w:val="-6"/>
          <w:sz w:val="32"/>
          <w:szCs w:val="32"/>
        </w:rPr>
      </w:pPr>
      <w:r>
        <w:rPr>
          <w:rFonts w:hint="eastAsia" w:ascii="仿宋_GB2312" w:hAnsi="宋体" w:eastAsia="仿宋_GB2312" w:cs="宋体"/>
          <w:snapToGrid w:val="0"/>
          <w:spacing w:val="-6"/>
          <w:sz w:val="32"/>
          <w:szCs w:val="32"/>
        </w:rPr>
        <w:t>4.</w:t>
      </w:r>
      <w:r>
        <w:rPr>
          <w:rFonts w:hint="eastAsia" w:ascii="仿宋_GB2312" w:hAnsi="黑体" w:eastAsia="仿宋_GB2312" w:cs="黑体"/>
          <w:snapToGrid w:val="0"/>
          <w:spacing w:val="-6"/>
          <w:sz w:val="32"/>
          <w:szCs w:val="32"/>
        </w:rPr>
        <w:t>食品安全严把关。</w:t>
      </w:r>
      <w:r>
        <w:rPr>
          <w:rFonts w:hint="eastAsia" w:ascii="仿宋_GB2312" w:hAnsi="Times New Roman" w:eastAsia="仿宋_GB2312" w:cs="Times New Roman"/>
          <w:snapToGrid w:val="0"/>
          <w:color w:val="000000"/>
          <w:spacing w:val="-6"/>
          <w:sz w:val="32"/>
          <w:szCs w:val="32"/>
        </w:rPr>
        <w:t>不购买“三无”食品、过期食品，不食用来源不明的食物。生熟食物分开存放和加工，饭前便后洗手，养成良好的饮食卫生习惯。不暴饮暴食，合理搭配膳食，保障饮食健康。</w:t>
      </w:r>
    </w:p>
    <w:p>
      <w:pPr>
        <w:overflowPunct w:val="0"/>
        <w:spacing w:line="560" w:lineRule="exact"/>
        <w:ind w:firstLine="616" w:firstLineChars="200"/>
        <w:rPr>
          <w:rFonts w:hint="eastAsia" w:ascii="仿宋_GB2312" w:hAnsi="Times New Roman" w:eastAsia="仿宋_GB2312" w:cs="Times New Roman"/>
          <w:snapToGrid w:val="0"/>
          <w:spacing w:val="-6"/>
          <w:sz w:val="32"/>
          <w:szCs w:val="32"/>
        </w:rPr>
      </w:pPr>
      <w:r>
        <w:rPr>
          <w:rFonts w:hint="eastAsia" w:ascii="仿宋_GB2312" w:hAnsi="宋体" w:eastAsia="仿宋_GB2312" w:cs="宋体"/>
          <w:snapToGrid w:val="0"/>
          <w:spacing w:val="-6"/>
          <w:sz w:val="32"/>
          <w:szCs w:val="32"/>
        </w:rPr>
        <w:t>5.</w:t>
      </w:r>
      <w:r>
        <w:rPr>
          <w:rFonts w:hint="eastAsia" w:ascii="仿宋_GB2312" w:hAnsi="黑体" w:eastAsia="仿宋_GB2312" w:cs="黑体"/>
          <w:snapToGrid w:val="0"/>
          <w:spacing w:val="-6"/>
          <w:sz w:val="32"/>
          <w:szCs w:val="32"/>
        </w:rPr>
        <w:t>疾病风险要防范</w:t>
      </w:r>
      <w:r>
        <w:rPr>
          <w:rFonts w:hint="eastAsia" w:ascii="仿宋_GB2312" w:hAnsi="Times New Roman" w:eastAsia="仿宋_GB2312" w:cs="Times New Roman"/>
          <w:snapToGrid w:val="0"/>
          <w:spacing w:val="-6"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snapToGrid w:val="0"/>
          <w:color w:val="000000"/>
          <w:spacing w:val="-6"/>
          <w:sz w:val="32"/>
          <w:szCs w:val="32"/>
        </w:rPr>
        <w:t>密切关注流感等冬季常见传染病疫情动态，养成勤洗手、常通风、科学佩戴口罩、保持社交距离等良好卫生习惯。保持规律作息，保证充足睡眠，合理搭配饮食，加强体育锻炼，增强免疫力。尽量不去人群密集、空气不流通的公共场所。</w:t>
      </w:r>
    </w:p>
    <w:p>
      <w:pPr>
        <w:overflowPunct w:val="0"/>
        <w:spacing w:line="560" w:lineRule="exact"/>
        <w:ind w:firstLine="616" w:firstLineChars="200"/>
        <w:rPr>
          <w:rFonts w:hint="eastAsia" w:ascii="仿宋_GB2312" w:hAnsi="Times New Roman" w:eastAsia="仿宋_GB2312" w:cs="Times New Roman"/>
          <w:snapToGrid w:val="0"/>
          <w:color w:val="000000"/>
          <w:spacing w:val="-6"/>
          <w:sz w:val="32"/>
          <w:szCs w:val="32"/>
        </w:rPr>
      </w:pPr>
      <w:r>
        <w:rPr>
          <w:rFonts w:hint="eastAsia" w:ascii="仿宋_GB2312" w:hAnsi="宋体" w:eastAsia="仿宋_GB2312" w:cs="宋体"/>
          <w:snapToGrid w:val="0"/>
          <w:spacing w:val="-6"/>
          <w:sz w:val="32"/>
          <w:szCs w:val="32"/>
        </w:rPr>
        <w:t>6.</w:t>
      </w:r>
      <w:r>
        <w:rPr>
          <w:rFonts w:hint="eastAsia" w:ascii="仿宋_GB2312" w:hAnsi="黑体" w:eastAsia="仿宋_GB2312" w:cs="黑体"/>
          <w:snapToGrid w:val="0"/>
          <w:spacing w:val="-6"/>
          <w:sz w:val="32"/>
          <w:szCs w:val="32"/>
        </w:rPr>
        <w:t>自我防护要强化。</w:t>
      </w:r>
      <w:r>
        <w:rPr>
          <w:rFonts w:hint="eastAsia" w:ascii="仿宋_GB2312" w:hAnsi="Times New Roman" w:eastAsia="仿宋_GB2312" w:cs="Times New Roman"/>
          <w:snapToGrid w:val="0"/>
          <w:color w:val="000000"/>
          <w:spacing w:val="-6"/>
          <w:sz w:val="32"/>
          <w:szCs w:val="32"/>
        </w:rPr>
        <w:t>自觉遵守未成年人保护相关规定，不去营业性歌舞娱乐场所、互联网上网服务场所、酒吧等不适宜未成年人进入的场所。倡导多前往博物馆、科技馆、图书馆、运动场馆等场所开展实践体验活动。</w:t>
      </w:r>
    </w:p>
    <w:p>
      <w:pPr>
        <w:overflowPunct w:val="0"/>
        <w:spacing w:line="560" w:lineRule="exact"/>
        <w:ind w:firstLine="616" w:firstLineChars="200"/>
        <w:rPr>
          <w:rFonts w:hint="eastAsia" w:ascii="仿宋_GB2312" w:hAnsi="Times New Roman" w:eastAsia="仿宋_GB2312" w:cs="Times New Roman"/>
          <w:snapToGrid w:val="0"/>
          <w:spacing w:val="-6"/>
          <w:sz w:val="32"/>
          <w:szCs w:val="32"/>
        </w:rPr>
      </w:pPr>
      <w:r>
        <w:rPr>
          <w:rFonts w:hint="eastAsia" w:ascii="仿宋_GB2312" w:hAnsi="宋体" w:eastAsia="仿宋_GB2312" w:cs="宋体"/>
          <w:snapToGrid w:val="0"/>
          <w:spacing w:val="-6"/>
          <w:sz w:val="32"/>
          <w:szCs w:val="32"/>
        </w:rPr>
        <w:t>7.</w:t>
      </w:r>
      <w:r>
        <w:rPr>
          <w:rFonts w:hint="eastAsia" w:ascii="仿宋_GB2312" w:hAnsi="黑体" w:eastAsia="仿宋_GB2312" w:cs="黑体"/>
          <w:snapToGrid w:val="0"/>
          <w:spacing w:val="-6"/>
          <w:sz w:val="32"/>
          <w:szCs w:val="32"/>
        </w:rPr>
        <w:t>规范上网防风险</w:t>
      </w:r>
      <w:r>
        <w:rPr>
          <w:rFonts w:hint="eastAsia" w:ascii="仿宋_GB2312" w:hAnsi="Times New Roman" w:eastAsia="仿宋_GB2312" w:cs="Times New Roman"/>
          <w:snapToGrid w:val="0"/>
          <w:spacing w:val="-6"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snapToGrid w:val="0"/>
          <w:color w:val="000000"/>
          <w:spacing w:val="-6"/>
          <w:sz w:val="32"/>
          <w:szCs w:val="32"/>
        </w:rPr>
        <w:t>严格控制上网时间，不沉溺网络游戏、短视频等虚拟空间。增强网络安全意识，不点击不明链接，不下载未知来源的软件。规范网络言行，不发表侮辱、欺凌他人的言论，不参与网络谣言传播。保护个人信息，不要将重要的信息如家庭住址、个人电话等告诉陌生人，不随意添加陌生网友，不单独约见网友。如遇校园贷款、网络诈骗电话，及时与家长确认。</w:t>
      </w:r>
    </w:p>
    <w:p>
      <w:pPr>
        <w:overflowPunct w:val="0"/>
        <w:spacing w:line="560" w:lineRule="exact"/>
        <w:ind w:firstLine="616" w:firstLineChars="200"/>
        <w:rPr>
          <w:rFonts w:hint="eastAsia" w:ascii="仿宋_GB2312" w:hAnsi="Times New Roman" w:eastAsia="仿宋_GB2312" w:cs="Times New Roman"/>
          <w:snapToGrid w:val="0"/>
          <w:spacing w:val="-6"/>
          <w:sz w:val="32"/>
          <w:szCs w:val="32"/>
        </w:rPr>
      </w:pPr>
      <w:r>
        <w:rPr>
          <w:rFonts w:hint="eastAsia" w:ascii="仿宋_GB2312" w:hAnsi="宋体" w:eastAsia="仿宋_GB2312" w:cs="宋体"/>
          <w:snapToGrid w:val="0"/>
          <w:spacing w:val="-6"/>
          <w:sz w:val="32"/>
          <w:szCs w:val="32"/>
        </w:rPr>
        <w:t>8.</w:t>
      </w:r>
      <w:r>
        <w:rPr>
          <w:rFonts w:hint="eastAsia" w:ascii="仿宋_GB2312" w:hAnsi="黑体" w:eastAsia="仿宋_GB2312" w:cs="黑体"/>
          <w:snapToGrid w:val="0"/>
          <w:spacing w:val="-6"/>
          <w:sz w:val="32"/>
          <w:szCs w:val="32"/>
        </w:rPr>
        <w:t>危险区域要远离。</w:t>
      </w:r>
      <w:r>
        <w:rPr>
          <w:rFonts w:hint="eastAsia" w:ascii="仿宋_GB2312" w:hAnsi="Times New Roman" w:eastAsia="仿宋_GB2312" w:cs="Times New Roman"/>
          <w:snapToGrid w:val="0"/>
          <w:color w:val="000000"/>
          <w:spacing w:val="-6"/>
          <w:sz w:val="32"/>
          <w:szCs w:val="32"/>
        </w:rPr>
        <w:t>不擅自进入轨道区间、在建工地、高压电线附近、变电站、危化品仓库等危险区域，不翻越围栏、隔离设施。冬季冰雪天气注意防滑，不前往结冰湖面、河面、池塘等水域玩耍，不捡拾掉入水域的物品；发现他人落水时，不盲目施救，立即大声呼救并寻求成人帮助，或利用救生器材投掷救援。</w:t>
      </w:r>
    </w:p>
    <w:p>
      <w:pPr>
        <w:overflowPunct w:val="0"/>
        <w:spacing w:line="560" w:lineRule="exact"/>
        <w:ind w:firstLine="616" w:firstLineChars="200"/>
        <w:rPr>
          <w:rFonts w:hint="eastAsia" w:ascii="仿宋_GB2312" w:hAnsi="Times New Roman" w:eastAsia="仿宋_GB2312" w:cs="Times New Roman"/>
          <w:snapToGrid w:val="0"/>
          <w:spacing w:val="-6"/>
          <w:sz w:val="32"/>
          <w:szCs w:val="32"/>
        </w:rPr>
      </w:pPr>
      <w:r>
        <w:rPr>
          <w:rFonts w:hint="eastAsia" w:ascii="仿宋_GB2312" w:hAnsi="宋体" w:eastAsia="仿宋_GB2312" w:cs="宋体"/>
          <w:snapToGrid w:val="0"/>
          <w:spacing w:val="-6"/>
          <w:sz w:val="32"/>
          <w:szCs w:val="32"/>
        </w:rPr>
        <w:t>9.</w:t>
      </w:r>
      <w:r>
        <w:rPr>
          <w:rFonts w:hint="eastAsia" w:ascii="仿宋_GB2312" w:hAnsi="黑体" w:eastAsia="仿宋_GB2312" w:cs="黑体"/>
          <w:snapToGrid w:val="0"/>
          <w:spacing w:val="-6"/>
          <w:sz w:val="32"/>
          <w:szCs w:val="32"/>
        </w:rPr>
        <w:t>公共秩序严遵守。</w:t>
      </w:r>
      <w:r>
        <w:rPr>
          <w:rFonts w:hint="eastAsia" w:ascii="仿宋_GB2312" w:hAnsi="Times New Roman" w:eastAsia="仿宋_GB2312" w:cs="Times New Roman"/>
          <w:snapToGrid w:val="0"/>
          <w:color w:val="000000"/>
          <w:spacing w:val="-6"/>
          <w:sz w:val="32"/>
          <w:szCs w:val="32"/>
        </w:rPr>
        <w:t>乘坐公共交通时，先下后上不争抢，安静乘车不嬉闹。乘自动扶梯抓紧扶手，留意前方，注意脚下。进入商场、影院、场馆等人员密集场所时，先熟悉安全出口和逃生通道位置。遇到突发事件不慌张，听从工作人员指挥，沿安全通道快速撤离。遇到人流拥挤要镇定，注意躲避，避免摔跤。不要在人流中逆行或弯腰系鞋带。</w:t>
      </w:r>
    </w:p>
    <w:p>
      <w:pPr>
        <w:overflowPunct w:val="0"/>
        <w:spacing w:line="560" w:lineRule="exact"/>
        <w:ind w:firstLine="616" w:firstLineChars="200"/>
        <w:rPr>
          <w:rFonts w:hint="eastAsia" w:ascii="仿宋_GB2312" w:hAnsi="Times New Roman" w:eastAsia="仿宋_GB2312" w:cs="Times New Roman"/>
          <w:snapToGrid w:val="0"/>
          <w:spacing w:val="-6"/>
          <w:sz w:val="32"/>
          <w:szCs w:val="32"/>
        </w:rPr>
      </w:pPr>
      <w:r>
        <w:rPr>
          <w:rFonts w:hint="eastAsia" w:ascii="仿宋_GB2312" w:hAnsi="宋体" w:eastAsia="仿宋_GB2312" w:cs="宋体"/>
          <w:snapToGrid w:val="0"/>
          <w:spacing w:val="-6"/>
          <w:sz w:val="32"/>
          <w:szCs w:val="32"/>
        </w:rPr>
        <w:t>10.</w:t>
      </w:r>
      <w:r>
        <w:rPr>
          <w:rFonts w:hint="eastAsia" w:ascii="仿宋_GB2312" w:hAnsi="黑体" w:eastAsia="仿宋_GB2312" w:cs="黑体"/>
          <w:snapToGrid w:val="0"/>
          <w:spacing w:val="-6"/>
          <w:sz w:val="32"/>
          <w:szCs w:val="32"/>
        </w:rPr>
        <w:t>爆竹燃放守法规。</w:t>
      </w:r>
      <w:r>
        <w:rPr>
          <w:rFonts w:hint="eastAsia" w:ascii="仿宋_GB2312" w:hAnsi="Times New Roman" w:eastAsia="仿宋_GB2312" w:cs="Times New Roman"/>
          <w:snapToGrid w:val="0"/>
          <w:color w:val="000000"/>
          <w:spacing w:val="-6"/>
          <w:sz w:val="32"/>
          <w:szCs w:val="32"/>
        </w:rPr>
        <w:t>严格遵守我市烟花爆竹安全管理规定，不在外环线以内及外环线以外的禁放区域燃放烟花爆竹。</w:t>
      </w:r>
    </w:p>
    <w:p>
      <w:pPr>
        <w:overflowPunct w:val="0"/>
        <w:spacing w:line="560" w:lineRule="exact"/>
        <w:ind w:firstLine="616" w:firstLineChars="200"/>
        <w:rPr>
          <w:rFonts w:hint="eastAsia" w:ascii="仿宋_GB2312" w:hAnsi="Times New Roman" w:eastAsia="仿宋_GB2312" w:cs="Times New Roman"/>
          <w:snapToGrid w:val="0"/>
          <w:spacing w:val="-6"/>
          <w:sz w:val="32"/>
          <w:szCs w:val="32"/>
        </w:rPr>
      </w:pPr>
      <w:r>
        <w:rPr>
          <w:rFonts w:hint="eastAsia" w:ascii="仿宋_GB2312" w:hAnsi="宋体" w:eastAsia="仿宋_GB2312" w:cs="宋体"/>
          <w:snapToGrid w:val="0"/>
          <w:spacing w:val="-6"/>
          <w:sz w:val="32"/>
          <w:szCs w:val="32"/>
        </w:rPr>
        <w:t>11.</w:t>
      </w:r>
      <w:r>
        <w:rPr>
          <w:rFonts w:hint="eastAsia" w:ascii="仿宋_GB2312" w:hAnsi="黑体" w:eastAsia="仿宋_GB2312" w:cs="黑体"/>
          <w:snapToGrid w:val="0"/>
          <w:spacing w:val="-6"/>
          <w:sz w:val="32"/>
          <w:szCs w:val="32"/>
        </w:rPr>
        <w:t>出行防护做到位。</w:t>
      </w:r>
      <w:r>
        <w:rPr>
          <w:rFonts w:hint="eastAsia" w:ascii="仿宋_GB2312" w:hAnsi="Times New Roman" w:eastAsia="仿宋_GB2312" w:cs="Times New Roman"/>
          <w:snapToGrid w:val="0"/>
          <w:color w:val="000000"/>
          <w:spacing w:val="-6"/>
          <w:sz w:val="32"/>
          <w:szCs w:val="32"/>
        </w:rPr>
        <w:t>外出旅行时，选择正规、信誉好的旅行社，签订旅游合同并购买旅游保险。提前了解目的地天气、路况及安全形势，做好防寒、防滑等准备。住宿宾馆后，及时查看逃生通道图，熟悉疏散路线。游玩时遵守景区规定，不进入未开发区域，避免攀爬危险山体、岩石。</w:t>
      </w:r>
    </w:p>
    <w:p>
      <w:pPr>
        <w:spacing w:line="560" w:lineRule="exact"/>
        <w:ind w:firstLine="616" w:firstLineChars="200"/>
        <w:rPr>
          <w:rFonts w:ascii="仿宋_GB2312" w:hAnsi="Times New Roman" w:eastAsia="仿宋_GB2312" w:cs="Times New Roman"/>
          <w:snapToGrid w:val="0"/>
          <w:color w:val="000000"/>
          <w:spacing w:val="-6"/>
          <w:sz w:val="32"/>
          <w:szCs w:val="32"/>
        </w:rPr>
      </w:pPr>
      <w:r>
        <w:rPr>
          <w:rFonts w:hint="eastAsia" w:ascii="仿宋_GB2312" w:hAnsi="宋体" w:eastAsia="仿宋_GB2312" w:cs="宋体"/>
          <w:snapToGrid w:val="0"/>
          <w:spacing w:val="-6"/>
          <w:sz w:val="32"/>
          <w:szCs w:val="32"/>
        </w:rPr>
        <w:t>12.</w:t>
      </w:r>
      <w:r>
        <w:rPr>
          <w:rFonts w:hint="eastAsia" w:ascii="仿宋_GB2312" w:hAnsi="黑体" w:eastAsia="仿宋_GB2312" w:cs="黑体"/>
          <w:snapToGrid w:val="0"/>
          <w:spacing w:val="-6"/>
          <w:sz w:val="32"/>
          <w:szCs w:val="32"/>
        </w:rPr>
        <w:t>情绪管理要学会。</w:t>
      </w:r>
      <w:r>
        <w:rPr>
          <w:rFonts w:hint="eastAsia" w:ascii="仿宋_GB2312" w:hAnsi="Times New Roman" w:eastAsia="仿宋_GB2312" w:cs="Times New Roman"/>
          <w:snapToGrid w:val="0"/>
          <w:color w:val="000000"/>
          <w:spacing w:val="-6"/>
          <w:sz w:val="32"/>
          <w:szCs w:val="32"/>
        </w:rPr>
        <w:t>合理安排假期生活，培养兴趣爱好，通过运动、阅读等方式丰富精神世界。遇到学习压力、人际矛盾、情绪低落等问题时，主动与家长、老师或朋友沟通倾诉，也可拨打全国心理援助热线12356、上海市心理热线962525、上海青少年服务热线12355、各区心理中心24小时热线寻求专业帮助，保持积极乐观的心态。</w:t>
      </w:r>
    </w:p>
    <w:p>
      <w:pPr>
        <w:spacing w:line="560" w:lineRule="exact"/>
        <w:ind w:firstLine="616" w:firstLineChars="200"/>
        <w:rPr>
          <w:rFonts w:ascii="仿宋_GB2312" w:hAnsi="Times New Roman" w:eastAsia="仿宋_GB2312" w:cs="Times New Roman"/>
          <w:snapToGrid w:val="0"/>
          <w:color w:val="000000"/>
          <w:spacing w:val="-6"/>
          <w:sz w:val="32"/>
          <w:szCs w:val="32"/>
        </w:rPr>
      </w:pPr>
    </w:p>
    <w:p>
      <w:pPr>
        <w:spacing w:line="560" w:lineRule="exact"/>
        <w:ind w:firstLine="616" w:firstLineChars="200"/>
        <w:rPr>
          <w:rFonts w:ascii="仿宋_GB2312" w:hAnsi="Times New Roman" w:eastAsia="仿宋_GB2312" w:cs="Times New Roman"/>
          <w:snapToGrid w:val="0"/>
          <w:color w:val="000000"/>
          <w:spacing w:val="-6"/>
          <w:sz w:val="32"/>
          <w:szCs w:val="32"/>
        </w:rPr>
      </w:pPr>
    </w:p>
    <w:p>
      <w:pPr>
        <w:spacing w:line="560" w:lineRule="exact"/>
        <w:ind w:firstLine="616" w:firstLineChars="200"/>
        <w:rPr>
          <w:rFonts w:ascii="仿宋_GB2312" w:hAnsi="Times New Roman" w:eastAsia="仿宋_GB2312" w:cs="Times New Roman"/>
          <w:snapToGrid w:val="0"/>
          <w:color w:val="000000"/>
          <w:spacing w:val="-6"/>
          <w:sz w:val="32"/>
          <w:szCs w:val="32"/>
        </w:rPr>
      </w:pPr>
    </w:p>
    <w:p>
      <w:pPr>
        <w:spacing w:line="560" w:lineRule="exact"/>
        <w:ind w:firstLine="616" w:firstLineChars="200"/>
        <w:rPr>
          <w:rFonts w:ascii="仿宋_GB2312" w:hAnsi="Times New Roman" w:eastAsia="仿宋_GB2312" w:cs="Times New Roman"/>
          <w:snapToGrid w:val="0"/>
          <w:color w:val="000000"/>
          <w:spacing w:val="-6"/>
          <w:sz w:val="32"/>
          <w:szCs w:val="32"/>
        </w:rPr>
      </w:pPr>
    </w:p>
    <w:p>
      <w:pPr>
        <w:spacing w:line="560" w:lineRule="exact"/>
        <w:ind w:firstLine="616" w:firstLineChars="200"/>
        <w:rPr>
          <w:rFonts w:ascii="仿宋_GB2312" w:hAnsi="Times New Roman" w:eastAsia="仿宋_GB2312" w:cs="Times New Roman"/>
          <w:snapToGrid w:val="0"/>
          <w:color w:val="000000"/>
          <w:spacing w:val="-6"/>
          <w:sz w:val="32"/>
          <w:szCs w:val="32"/>
        </w:rPr>
      </w:pPr>
    </w:p>
    <w:p>
      <w:pPr>
        <w:spacing w:line="560" w:lineRule="exact"/>
        <w:ind w:firstLine="616" w:firstLineChars="200"/>
        <w:rPr>
          <w:rFonts w:ascii="仿宋_GB2312" w:hAnsi="Times New Roman" w:eastAsia="仿宋_GB2312" w:cs="Times New Roman"/>
          <w:snapToGrid w:val="0"/>
          <w:color w:val="000000"/>
          <w:spacing w:val="-6"/>
          <w:sz w:val="32"/>
          <w:szCs w:val="32"/>
        </w:rPr>
      </w:pPr>
    </w:p>
    <w:p>
      <w:pPr>
        <w:spacing w:line="560" w:lineRule="exact"/>
        <w:ind w:firstLine="616" w:firstLineChars="200"/>
        <w:rPr>
          <w:rFonts w:ascii="仿宋_GB2312" w:hAnsi="Times New Roman" w:eastAsia="仿宋_GB2312" w:cs="Times New Roman"/>
          <w:snapToGrid w:val="0"/>
          <w:color w:val="000000"/>
          <w:spacing w:val="-6"/>
          <w:sz w:val="32"/>
          <w:szCs w:val="32"/>
        </w:rPr>
      </w:pPr>
    </w:p>
    <w:p>
      <w:pPr>
        <w:spacing w:line="560" w:lineRule="exact"/>
        <w:ind w:firstLine="616" w:firstLineChars="200"/>
        <w:rPr>
          <w:rFonts w:ascii="仿宋_GB2312" w:hAnsi="Times New Roman" w:eastAsia="仿宋_GB2312" w:cs="Times New Roman"/>
          <w:snapToGrid w:val="0"/>
          <w:color w:val="000000"/>
          <w:spacing w:val="-6"/>
          <w:sz w:val="32"/>
          <w:szCs w:val="32"/>
        </w:rPr>
      </w:pPr>
    </w:p>
    <w:p>
      <w:pPr>
        <w:spacing w:line="560" w:lineRule="exact"/>
        <w:ind w:firstLine="616" w:firstLineChars="200"/>
        <w:rPr>
          <w:rFonts w:ascii="仿宋_GB2312" w:hAnsi="Times New Roman" w:eastAsia="仿宋_GB2312" w:cs="Times New Roman"/>
          <w:snapToGrid w:val="0"/>
          <w:color w:val="000000"/>
          <w:spacing w:val="-6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E5483"/>
    <w:rsid w:val="01667673"/>
    <w:rsid w:val="04DA078F"/>
    <w:rsid w:val="0B325CD7"/>
    <w:rsid w:val="185106B2"/>
    <w:rsid w:val="218248D1"/>
    <w:rsid w:val="23435206"/>
    <w:rsid w:val="2A624AA0"/>
    <w:rsid w:val="3DC37CC9"/>
    <w:rsid w:val="3FED639B"/>
    <w:rsid w:val="43932F68"/>
    <w:rsid w:val="522E5483"/>
    <w:rsid w:val="562E63A4"/>
    <w:rsid w:val="5E6D6A90"/>
    <w:rsid w:val="62F10608"/>
    <w:rsid w:val="65E75DA3"/>
    <w:rsid w:val="68BE7DC6"/>
    <w:rsid w:val="68EF3FEF"/>
    <w:rsid w:val="6D5972E2"/>
    <w:rsid w:val="7A5C5F0F"/>
    <w:rsid w:val="7B0C71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2026-03-10T05:38:00Z</dcterms:created>
  <dc:creator>Willow</dc:creator>
  <cp:lastModifiedBy>Willow</cp:lastModifiedBy>
  <dcterms:modified xsi:type="dcterms:W3CDTF">2026-03-10T05:39:28Z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CBDCB300607A46FCBE257A883D47B6A5_11</vt:lpwstr>
  </property>
</Properties>
</file>