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val="en-US" w:eastAsia="zh-CN"/>
        </w:rPr>
      </w:pPr>
      <w:bookmarkStart w:id="0" w:name="_GoBack"/>
      <w:r>
        <w:rPr>
          <w:rFonts w:hint="eastAsia" w:ascii="方正小标宋简体" w:hAnsi="方正小标宋简体" w:eastAsia="方正小标宋简体" w:cs="方正小标宋简体"/>
          <w:sz w:val="36"/>
          <w:szCs w:val="36"/>
          <w:lang w:val="en-US" w:eastAsia="zh-CN"/>
        </w:rPr>
        <w:t>静安区城管综合执法规划（2026-2030）</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（征求意见稿）</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sz w:val="34"/>
          <w:szCs w:val="34"/>
          <w:lang w:val="en-US" w:eastAsia="zh-CN"/>
        </w:rPr>
        <w:t>“十五五”（2016-2030年）是我国面向2035年基本是现代化承上启下的关键时期，也是上海面向2035年加快建设“五个中心、基本建成具有世界影响力的社会主义现代化国际大都市蓄力而上的关键时期，也是静安不断提升城区能级和核心竞争力，加快建成卓越的现代化国际城区的关键时期。</w:t>
      </w:r>
      <w:r>
        <w:rPr>
          <w:rFonts w:hint="eastAsia" w:ascii="仿宋_GB2312" w:hAnsi="仿宋_GB2312" w:eastAsia="仿宋_GB2312" w:cs="仿宋_GB2312"/>
          <w:sz w:val="34"/>
          <w:szCs w:val="34"/>
          <w14:ligatures w14:val="none"/>
        </w:rPr>
        <w:t>为推进“十五五”期间静安区</w:t>
      </w:r>
      <w:r>
        <w:rPr>
          <w:rFonts w:hint="eastAsia" w:ascii="仿宋_GB2312" w:hAnsi="仿宋_GB2312" w:eastAsia="仿宋_GB2312" w:cs="仿宋_GB2312"/>
          <w:sz w:val="34"/>
          <w:szCs w:val="34"/>
          <w:lang w:val="en-US" w:eastAsia="zh-CN"/>
          <w14:ligatures w14:val="none"/>
        </w:rPr>
        <w:t>城管系统综合执法</w:t>
      </w:r>
      <w:r>
        <w:rPr>
          <w:rFonts w:hint="eastAsia" w:ascii="仿宋_GB2312" w:hAnsi="仿宋_GB2312" w:eastAsia="仿宋_GB2312" w:cs="仿宋_GB2312"/>
          <w:sz w:val="34"/>
          <w:szCs w:val="34"/>
          <w14:ligatures w14:val="none"/>
        </w:rPr>
        <w:t>工作，围绕国家总体部署和全市发展大局，</w:t>
      </w:r>
      <w:r>
        <w:rPr>
          <w:rFonts w:hint="eastAsia" w:ascii="仿宋_GB2312" w:hAnsi="仿宋_GB2312" w:eastAsia="仿宋_GB2312" w:cs="仿宋_GB2312"/>
          <w:sz w:val="34"/>
          <w:szCs w:val="34"/>
          <w:lang w:val="en-US" w:eastAsia="zh-CN"/>
        </w:rPr>
        <w:t>按照上海市城市管理行政执法局和静安区“十五五”规划编制工作要求，静安区城管执法局编制《静安区城管综合执法规划（2026-2030）》。</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一、“十四五”回顾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（一）主要成就</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80" w:firstLineChars="200"/>
        <w:jc w:val="left"/>
        <w:textAlignment w:val="auto"/>
        <w:rPr>
          <w:rFonts w:hint="eastAsia" w:ascii="仿宋_GB2312" w:hAnsi="仿宋_GB2312" w:eastAsia="仿宋_GB2312" w:cs="仿宋_GB2312"/>
          <w:b w:val="0"/>
          <w:bCs w:val="0"/>
          <w:sz w:val="34"/>
          <w:szCs w:val="34"/>
          <w:vertAlign w:val="baseline"/>
          <w:lang w:val="en-US" w:eastAsia="zh-CN"/>
        </w:rPr>
      </w:pPr>
      <w:r>
        <w:rPr>
          <w:rFonts w:hint="eastAsia" w:ascii="仿宋_GB2312" w:hAnsi="仿宋_GB2312" w:eastAsia="仿宋_GB2312" w:cs="仿宋_GB2312"/>
          <w:b w:val="0"/>
          <w:bCs w:val="0"/>
          <w:sz w:val="34"/>
          <w:szCs w:val="34"/>
          <w:vertAlign w:val="baseline"/>
          <w:lang w:val="en-US" w:eastAsia="zh-CN"/>
        </w:rPr>
        <w:t>1.违法建筑治理情况</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b w:val="0"/>
          <w:bCs w:val="0"/>
          <w:sz w:val="34"/>
          <w:szCs w:val="34"/>
          <w:vertAlign w:val="baseline"/>
          <w:lang w:val="en-US" w:eastAsia="zh-CN"/>
        </w:rPr>
      </w:pPr>
      <w:r>
        <w:rPr>
          <w:rFonts w:hint="eastAsia" w:ascii="仿宋_GB2312" w:hAnsi="仿宋_GB2312" w:eastAsia="仿宋_GB2312" w:cs="仿宋_GB2312"/>
          <w:sz w:val="34"/>
          <w:szCs w:val="34"/>
          <w:vertAlign w:val="baseline"/>
          <w:lang w:val="en-US" w:eastAsia="zh-CN"/>
        </w:rPr>
        <w:t>十四五期间，静安区违法建筑治理工作实效性显著，全面消除重点类型违建，</w:t>
      </w:r>
      <w:r>
        <w:rPr>
          <w:rFonts w:hint="eastAsia" w:ascii="仿宋_GB2312" w:hAnsi="仿宋_GB2312" w:eastAsia="仿宋_GB2312" w:cs="仿宋_GB2312"/>
          <w:b w:val="0"/>
          <w:bCs w:val="0"/>
          <w:sz w:val="34"/>
          <w:szCs w:val="34"/>
          <w:vertAlign w:val="baseline"/>
          <w:lang w:val="en-US" w:eastAsia="zh-CN"/>
        </w:rPr>
        <w:t>共拆除整治库内存量违建点位3708个，面积38.43万平方米；静安区拆违工作综合排名始终名列前茅，全区14个街镇均为</w:t>
      </w:r>
      <w:r>
        <w:rPr>
          <w:rFonts w:hint="eastAsia" w:ascii="仿宋_GB2312" w:hAnsi="仿宋_GB2312" w:eastAsia="仿宋_GB2312" w:cs="仿宋_GB2312"/>
          <w:b w:val="0"/>
          <w:bCs w:val="0"/>
          <w:color w:val="auto"/>
          <w:kern w:val="2"/>
          <w:sz w:val="34"/>
          <w:szCs w:val="34"/>
          <w:highlight w:val="none"/>
          <w:lang w:val="en-US" w:eastAsia="zh-CN" w:bidi="ar-SA"/>
        </w:rPr>
        <w:t>无违建先进街镇，</w:t>
      </w:r>
      <w:r>
        <w:rPr>
          <w:rFonts w:hint="eastAsia" w:ascii="仿宋_GB2312" w:hAnsi="仿宋_GB2312" w:eastAsia="仿宋_GB2312" w:cs="仿宋_GB2312"/>
          <w:b w:val="0"/>
          <w:bCs w:val="0"/>
          <w:sz w:val="34"/>
          <w:szCs w:val="34"/>
          <w:vertAlign w:val="baseline"/>
          <w:lang w:val="en-US" w:eastAsia="zh-CN"/>
        </w:rPr>
        <w:t>“零”违建居村创建保持领先，</w:t>
      </w:r>
      <w:r>
        <w:rPr>
          <w:rFonts w:hint="eastAsia" w:ascii="仿宋_GB2312" w:hAnsi="仿宋_GB2312" w:eastAsia="仿宋_GB2312" w:cs="仿宋_GB2312"/>
          <w:sz w:val="34"/>
          <w:szCs w:val="34"/>
          <w:vertAlign w:val="baseline"/>
          <w:lang w:val="en-US" w:eastAsia="zh-CN"/>
        </w:rPr>
        <w:t>并连续三年（2021-2023年）荣获市年终考核中心城区第一，</w:t>
      </w:r>
      <w:r>
        <w:rPr>
          <w:rFonts w:hint="eastAsia" w:ascii="仿宋_GB2312" w:hAnsi="仿宋_GB2312" w:eastAsia="仿宋_GB2312" w:cs="仿宋_GB2312"/>
          <w:b w:val="0"/>
          <w:bCs w:val="0"/>
          <w:sz w:val="34"/>
          <w:szCs w:val="34"/>
          <w:vertAlign w:val="baseline"/>
          <w:lang w:val="en-US" w:eastAsia="zh-CN"/>
        </w:rPr>
        <w:t>拆除新增违法建筑点位137处，面积4993.88平方米。</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80" w:firstLineChars="200"/>
        <w:jc w:val="left"/>
        <w:textAlignment w:val="auto"/>
        <w:rPr>
          <w:rFonts w:hint="default" w:ascii="仿宋_GB2312" w:hAnsi="仿宋_GB2312" w:eastAsia="仿宋_GB2312" w:cs="仿宋_GB2312"/>
          <w:b w:val="0"/>
          <w:bCs w:val="0"/>
          <w:sz w:val="34"/>
          <w:szCs w:val="34"/>
          <w:vertAlign w:val="baseline"/>
          <w:lang w:val="en-US" w:eastAsia="zh-CN"/>
        </w:rPr>
      </w:pPr>
      <w:r>
        <w:rPr>
          <w:rFonts w:hint="eastAsia" w:ascii="仿宋_GB2312" w:hAnsi="仿宋_GB2312" w:eastAsia="仿宋_GB2312" w:cs="仿宋_GB2312"/>
          <w:b w:val="0"/>
          <w:bCs w:val="0"/>
          <w:sz w:val="34"/>
          <w:szCs w:val="34"/>
          <w:vertAlign w:val="baseline"/>
          <w:lang w:val="en-US" w:eastAsia="zh-CN"/>
        </w:rPr>
        <w:t>2.城市综合治理专项整治</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83" w:firstLineChars="200"/>
        <w:jc w:val="left"/>
        <w:textAlignment w:val="auto"/>
        <w:rPr>
          <w:rFonts w:hint="eastAsia" w:ascii="仿宋_GB2312" w:hAnsi="仿宋_GB2312" w:eastAsia="仿宋_GB2312" w:cs="仿宋_GB2312"/>
          <w:b w:val="0"/>
          <w:bCs w:val="0"/>
          <w:sz w:val="34"/>
          <w:szCs w:val="34"/>
          <w:vertAlign w:val="baseline"/>
          <w:lang w:val="en-US" w:eastAsia="zh-CN"/>
        </w:rPr>
      </w:pPr>
      <w:r>
        <w:rPr>
          <w:rFonts w:hint="eastAsia" w:ascii="仿宋_GB2312" w:hAnsi="仿宋_GB2312" w:eastAsia="仿宋_GB2312" w:cs="仿宋_GB2312"/>
          <w:b/>
          <w:bCs/>
          <w:sz w:val="34"/>
          <w:szCs w:val="34"/>
          <w:vertAlign w:val="baseline"/>
          <w:lang w:val="en-US" w:eastAsia="zh-CN"/>
        </w:rPr>
        <w:t>一是共享单车乱停放治理。</w:t>
      </w:r>
      <w:r>
        <w:rPr>
          <w:rFonts w:hint="eastAsia" w:ascii="仿宋_GB2312" w:hAnsi="仿宋_GB2312" w:eastAsia="仿宋_GB2312" w:cs="仿宋_GB2312"/>
          <w:b w:val="0"/>
          <w:bCs w:val="0"/>
          <w:sz w:val="34"/>
          <w:szCs w:val="34"/>
          <w:vertAlign w:val="baseline"/>
          <w:lang w:val="en-US" w:eastAsia="zh-CN"/>
        </w:rPr>
        <w:t>针对共享单车乱停放问题，区城管执法局加强与共享单车企业的合作，推动其科学投放、合理布局，并加大巡查力度，及时清理乱停放的共享单车，责令相关企业清理界面共享单车16.4万余辆次，教育整改8300余次，约谈共享单车企业12次。</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83" w:firstLineChars="200"/>
        <w:jc w:val="left"/>
        <w:textAlignment w:val="auto"/>
        <w:rPr>
          <w:rFonts w:hint="eastAsia" w:ascii="仿宋_GB2312" w:hAnsi="仿宋_GB2312" w:eastAsia="仿宋_GB2312" w:cs="仿宋_GB2312"/>
          <w:b w:val="0"/>
          <w:bCs w:val="0"/>
          <w:sz w:val="34"/>
          <w:szCs w:val="34"/>
          <w:vertAlign w:val="baseline"/>
          <w:lang w:val="en-US" w:eastAsia="zh-CN"/>
        </w:rPr>
      </w:pPr>
      <w:r>
        <w:rPr>
          <w:rFonts w:hint="eastAsia" w:ascii="仿宋_GB2312" w:hAnsi="仿宋_GB2312" w:eastAsia="仿宋_GB2312" w:cs="仿宋_GB2312"/>
          <w:b/>
          <w:bCs/>
          <w:sz w:val="34"/>
          <w:szCs w:val="34"/>
          <w:vertAlign w:val="baseline"/>
          <w:lang w:val="en-US" w:eastAsia="zh-CN"/>
        </w:rPr>
        <w:t>二是非机动车充电安全隐患整治。</w:t>
      </w:r>
      <w:r>
        <w:rPr>
          <w:rFonts w:hint="eastAsia" w:ascii="仿宋_GB2312" w:hAnsi="仿宋_GB2312" w:eastAsia="仿宋_GB2312" w:cs="仿宋_GB2312"/>
          <w:b w:val="0"/>
          <w:bCs w:val="0"/>
          <w:sz w:val="34"/>
          <w:szCs w:val="34"/>
          <w:vertAlign w:val="baseline"/>
          <w:lang w:val="en-US" w:eastAsia="zh-CN"/>
        </w:rPr>
        <w:t>自2024年《上海市非机动车安全管理条例》修订实施以来，区城管执法局不断加强非机动车充电安全治理力度，有效降低充电火灾事故的发生率。同时，组织各街镇中队配合物业排查住宅小区非机动车充电安全隐患5405次，教育整改2572次；开展“回头看”专项夜巡督察，指导街镇中队查处飞线充电行为，并通过普法宣传引导小区居民合规使用充电桩，在规定区域集中充电。</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83" w:firstLineChars="200"/>
        <w:jc w:val="left"/>
        <w:textAlignment w:val="auto"/>
        <w:rPr>
          <w:rFonts w:hint="eastAsia" w:ascii="仿宋_GB2312" w:hAnsi="仿宋_GB2312" w:eastAsia="仿宋_GB2312" w:cs="仿宋_GB2312"/>
          <w:b w:val="0"/>
          <w:bCs w:val="0"/>
          <w:sz w:val="34"/>
          <w:szCs w:val="34"/>
          <w:vertAlign w:val="baseline"/>
          <w:lang w:val="en-US" w:eastAsia="zh-CN"/>
        </w:rPr>
      </w:pPr>
      <w:r>
        <w:rPr>
          <w:rFonts w:hint="eastAsia" w:ascii="仿宋_GB2312" w:hAnsi="仿宋_GB2312" w:eastAsia="仿宋_GB2312" w:cs="仿宋_GB2312"/>
          <w:b/>
          <w:bCs/>
          <w:sz w:val="34"/>
          <w:szCs w:val="34"/>
          <w:vertAlign w:val="baseline"/>
          <w:lang w:val="en-US" w:eastAsia="zh-CN"/>
        </w:rPr>
        <w:t>三是户外广告与店招管理。</w:t>
      </w:r>
      <w:r>
        <w:rPr>
          <w:rFonts w:hint="eastAsia" w:ascii="仿宋_GB2312" w:hAnsi="仿宋_GB2312" w:eastAsia="仿宋_GB2312" w:cs="仿宋_GB2312"/>
          <w:b w:val="0"/>
          <w:bCs w:val="0"/>
          <w:sz w:val="34"/>
          <w:szCs w:val="34"/>
          <w:vertAlign w:val="baseline"/>
          <w:lang w:val="en-US" w:eastAsia="zh-CN"/>
        </w:rPr>
        <w:t>2022年起，根据上级部门要求，开展违法户外广告设施执法整治，拆除市级督办点位192块；2023年，拆除违法户外广告设施市级督办点位51块；2024年，会同区绿化市容局，指导各街镇持续加强户外广告、招牌设施联合整治，完成47处市级督办违法户外广告设施整治，完成率达100%，查处违规户外广告案件27起。通过安全整治，有效排除高空安全隐患，市容环境不断提升。</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83" w:firstLineChars="200"/>
        <w:jc w:val="left"/>
        <w:textAlignment w:val="auto"/>
        <w:rPr>
          <w:rFonts w:hint="eastAsia" w:ascii="仿宋_GB2312" w:hAnsi="仿宋_GB2312" w:eastAsia="仿宋_GB2312" w:cs="仿宋_GB2312"/>
          <w:b w:val="0"/>
          <w:bCs w:val="0"/>
          <w:sz w:val="34"/>
          <w:szCs w:val="34"/>
          <w:vertAlign w:val="baseline"/>
          <w:lang w:val="en-US" w:eastAsia="zh-CN"/>
        </w:rPr>
      </w:pPr>
      <w:r>
        <w:rPr>
          <w:rFonts w:hint="eastAsia" w:ascii="仿宋_GB2312" w:hAnsi="仿宋_GB2312" w:eastAsia="仿宋_GB2312" w:cs="仿宋_GB2312"/>
          <w:b/>
          <w:bCs/>
          <w:sz w:val="34"/>
          <w:szCs w:val="34"/>
          <w:vertAlign w:val="baseline"/>
          <w:lang w:val="en-US" w:eastAsia="zh-CN"/>
        </w:rPr>
        <w:t>四是城管执法进社区专项工作。</w:t>
      </w:r>
      <w:r>
        <w:rPr>
          <w:rFonts w:hint="eastAsia" w:ascii="仿宋_GB2312" w:hAnsi="仿宋_GB2312" w:eastAsia="仿宋_GB2312" w:cs="仿宋_GB2312"/>
          <w:b w:val="0"/>
          <w:bCs w:val="0"/>
          <w:sz w:val="34"/>
          <w:szCs w:val="34"/>
          <w:vertAlign w:val="baseline"/>
          <w:lang w:val="en-US" w:eastAsia="zh-CN"/>
        </w:rPr>
        <w:t>十四五期间，依托264个“一人一居”城管社区工作室，开展进社区日常巡查和专项检查共计63956次，开展进社区普法宣传17315次。</w:t>
      </w:r>
    </w:p>
    <w:p>
      <w:pPr>
        <w:keepNext w:val="0"/>
        <w:keepLines w:val="0"/>
        <w:pageBreakBefore w:val="0"/>
        <w:widowControl/>
        <w:suppressLineNumbers w:val="0"/>
        <w:kinsoku/>
        <w:wordWrap/>
        <w:overflowPunct/>
        <w:topLinePunct w:val="0"/>
        <w:autoSpaceDE/>
        <w:autoSpaceDN/>
        <w:bidi w:val="0"/>
        <w:adjustRightInd/>
        <w:snapToGrid/>
        <w:spacing w:line="570" w:lineRule="exact"/>
        <w:ind w:firstLine="683" w:firstLineChars="200"/>
        <w:jc w:val="left"/>
        <w:textAlignment w:val="auto"/>
        <w:rPr>
          <w:rFonts w:hint="eastAsia" w:ascii="仿宋_GB2312" w:hAnsi="仿宋_GB2312" w:eastAsia="仿宋_GB2312" w:cs="仿宋_GB2312"/>
          <w:b/>
          <w:bCs/>
          <w:sz w:val="34"/>
          <w:szCs w:val="34"/>
          <w:lang w:val="en-US" w:eastAsia="zh-CN"/>
        </w:rPr>
      </w:pPr>
      <w:r>
        <w:rPr>
          <w:rFonts w:hint="eastAsia" w:ascii="仿宋_GB2312" w:hAnsi="仿宋_GB2312" w:eastAsia="仿宋_GB2312" w:cs="仿宋_GB2312"/>
          <w:b/>
          <w:bCs/>
          <w:sz w:val="34"/>
          <w:szCs w:val="34"/>
          <w:vertAlign w:val="baseline"/>
          <w:lang w:val="en-US" w:eastAsia="zh-CN"/>
        </w:rPr>
        <w:t>五是市容环境整治。</w:t>
      </w:r>
      <w:r>
        <w:rPr>
          <w:rFonts w:hint="eastAsia" w:ascii="仿宋_GB2312" w:hAnsi="仿宋_GB2312" w:eastAsia="仿宋_GB2312" w:cs="仿宋_GB2312"/>
          <w:b w:val="0"/>
          <w:bCs w:val="0"/>
          <w:sz w:val="34"/>
          <w:szCs w:val="34"/>
          <w:vertAlign w:val="baseline"/>
          <w:lang w:val="en-US" w:eastAsia="zh-CN"/>
        </w:rPr>
        <w:t>十四五期间，通过双随机检查、日常巡查、专项检查等方式共计开展检查402149次，累计发现问题，调查取证，分类执法，</w:t>
      </w:r>
      <w:r>
        <w:rPr>
          <w:rFonts w:hint="eastAsia" w:ascii="仿宋_GB2312" w:hAnsi="仿宋_GB2312" w:eastAsia="仿宋_GB2312" w:cs="仿宋_GB2312"/>
          <w:kern w:val="0"/>
          <w:sz w:val="34"/>
          <w:szCs w:val="34"/>
          <w:lang w:eastAsia="zh-CN"/>
        </w:rPr>
        <w:t>查处案件</w:t>
      </w:r>
      <w:r>
        <w:rPr>
          <w:rFonts w:hint="eastAsia" w:ascii="仿宋_GB2312" w:hAnsi="仿宋_GB2312" w:eastAsia="仿宋_GB2312" w:cs="仿宋_GB2312"/>
          <w:kern w:val="0"/>
          <w:sz w:val="34"/>
          <w:szCs w:val="34"/>
          <w:lang w:val="en-US" w:eastAsia="zh-CN"/>
        </w:rPr>
        <w:t>3.3万余起，其中包含市容秩序类、环境卫生类、城市景观类、公共设施类、</w:t>
      </w:r>
      <w:r>
        <w:rPr>
          <w:rFonts w:hint="eastAsia" w:ascii="仿宋_GB2312" w:hAnsi="仿宋_GB2312" w:eastAsia="仿宋_GB2312" w:cs="仿宋_GB2312"/>
          <w:kern w:val="0"/>
          <w:sz w:val="34"/>
          <w:szCs w:val="34"/>
          <w:lang w:eastAsia="zh-CN"/>
        </w:rPr>
        <w:t>住宅小区管理类等种类</w:t>
      </w:r>
      <w:r>
        <w:rPr>
          <w:rFonts w:hint="eastAsia" w:ascii="仿宋_GB2312" w:hAnsi="仿宋_GB2312" w:eastAsia="仿宋_GB2312" w:cs="仿宋_GB2312"/>
          <w:b w:val="0"/>
          <w:bCs w:val="0"/>
          <w:sz w:val="34"/>
          <w:szCs w:val="34"/>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kern w:val="2"/>
          <w:sz w:val="34"/>
          <w:szCs w:val="34"/>
          <w:lang w:val="en-US" w:eastAsia="zh-CN" w:bidi="ar-SA"/>
        </w:rPr>
        <w:t>（二）</w:t>
      </w:r>
      <w:r>
        <w:rPr>
          <w:rFonts w:hint="eastAsia" w:ascii="楷体_GB2312" w:hAnsi="楷体_GB2312" w:eastAsia="楷体_GB2312" w:cs="楷体_GB2312"/>
          <w:b/>
          <w:bCs/>
          <w:sz w:val="34"/>
          <w:szCs w:val="34"/>
          <w:lang w:val="en-US" w:eastAsia="zh-CN"/>
        </w:rPr>
        <w:t>存在问题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对照创新、宜居、美丽、韧性、文明、智慧的现代化人民城市建设目标，对标“国际静安 卓越城区”建设要求，当前城管执法工作仍存在一些薄弱环节，主要表现在以下方面。</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1.队伍专业化水平与高质量执法办案需求存在差距。</w:t>
      </w:r>
      <w:r>
        <w:rPr>
          <w:rFonts w:hint="eastAsia" w:ascii="仿宋_GB2312" w:hAnsi="仿宋_GB2312" w:eastAsia="仿宋_GB2312" w:cs="仿宋_GB2312"/>
          <w:b w:val="0"/>
          <w:bCs w:val="0"/>
          <w:sz w:val="34"/>
          <w:szCs w:val="34"/>
          <w:lang w:val="en-US" w:eastAsia="zh-CN"/>
        </w:rPr>
        <w:t>面对新业态、新问题，部分执法人员在法律适用、证据固定、复杂案件处理等方面的能力有待加强。复合型人才、专业领军人才相对匮乏，队伍的专业结构有待优化。教育培训的针对性和实效性仍需提升，与“实战、实用、实效”的要求存在差距。</w:t>
      </w:r>
    </w:p>
    <w:p>
      <w:pPr>
        <w:keepNext w:val="0"/>
        <w:keepLines w:val="0"/>
        <w:pageBreakBefore w:val="0"/>
        <w:widowControl w:val="0"/>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2.个别专业领域急难顽症治理成效不明显。</w:t>
      </w:r>
      <w:r>
        <w:rPr>
          <w:rFonts w:hint="eastAsia" w:ascii="仿宋_GB2312" w:hAnsi="仿宋_GB2312" w:eastAsia="仿宋_GB2312" w:cs="仿宋_GB2312"/>
          <w:b w:val="0"/>
          <w:bCs w:val="0"/>
          <w:sz w:val="34"/>
          <w:szCs w:val="34"/>
          <w:lang w:val="en-US" w:eastAsia="zh-CN"/>
        </w:rPr>
        <w:t>在工程渣土运输、违法建筑防控、住宅小区“居改非”等涉及多方利益、成因复杂的领域，治理成果易出现反复；</w:t>
      </w:r>
      <w:r>
        <w:rPr>
          <w:rFonts w:hint="eastAsia" w:ascii="仿宋_GB2312" w:hAnsi="仿宋_GB2312" w:eastAsia="仿宋_GB2312" w:cs="仿宋_GB2312"/>
          <w:sz w:val="34"/>
          <w:szCs w:val="34"/>
        </w:rPr>
        <w:t>历史建筑密集区域的违法装修等问题，缺乏系统的执法案例库及标准化处置流程；华山医院等重点区域周边，非机动车乱停放、占道经营等问题投诉量较高，现有治理措施效果未达预期。</w:t>
      </w:r>
      <w:r>
        <w:rPr>
          <w:rFonts w:hint="eastAsia" w:ascii="仿宋_GB2312" w:hAnsi="仿宋_GB2312" w:eastAsia="仿宋_GB2312" w:cs="仿宋_GB2312"/>
          <w:b w:val="0"/>
          <w:bCs w:val="0"/>
          <w:sz w:val="34"/>
          <w:szCs w:val="34"/>
          <w:lang w:val="en-US" w:eastAsia="zh-CN"/>
        </w:rPr>
        <w:t>跨部门协同治理的长效机制尚不健全，源头治理、系统治理的能力有待进一步加强，部分顽症的治理成效与市民群众的期待仍有距离。</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default"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3.指导街镇执法队伍履职担当的措施缺乏抓手。</w:t>
      </w:r>
      <w:r>
        <w:rPr>
          <w:rFonts w:hint="eastAsia" w:ascii="仿宋_GB2312" w:hAnsi="仿宋_GB2312" w:eastAsia="仿宋_GB2312" w:cs="仿宋_GB2312"/>
          <w:b w:val="0"/>
          <w:bCs w:val="0"/>
          <w:sz w:val="34"/>
          <w:szCs w:val="34"/>
          <w:lang w:val="en-US" w:eastAsia="zh-CN"/>
        </w:rPr>
        <w:t>街镇综合行政执法队全面承接下沉事项后，区级层面在业务指导、监督考核、效能评估等方面的有效抓手相对不足。对基层执法队伍的履职情况、办案质量、作风效能的常态化监督和精准化指导机制不够完善，影响了全区执法工作均衡发展和整体效能提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二、“十五五”形势分析</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（一）发展机遇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“十五五”时期，静安区城市管理综合执法工作面临多重战略机遇，为区域城市治理现代化提供了有利条件。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一是宏观战略部署提供强大政策支撑。</w:t>
      </w:r>
      <w:r>
        <w:rPr>
          <w:rFonts w:hint="default" w:ascii="仿宋_GB2312" w:hAnsi="仿宋_GB2312" w:eastAsia="仿宋_GB2312" w:cs="仿宋_GB2312"/>
          <w:b w:val="0"/>
          <w:bCs w:val="0"/>
          <w:sz w:val="34"/>
          <w:szCs w:val="34"/>
          <w:lang w:val="en-US" w:eastAsia="zh-CN"/>
        </w:rPr>
        <w:t>“十五五”时期是我国迈向2035年远景目标的关键冲刺阶段</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"https://qwgzyj.gqb.gov.cn/cj/2025/10-23/10503490.shtml"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。国家层面坚持高质量发展作为经济社会发展的主题，并强调“坚持以经济建设为中心”</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"https://www.jxzfw.gov.cn/2025/1024/2025102467213.html"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。上海正加快建设“五个中心”，静安区紧扣“国际静安</w:t>
      </w:r>
      <w:r>
        <w:rPr>
          <w:rFonts w:hint="eastAsia" w:ascii="仿宋_GB2312" w:hAnsi="仿宋_GB2312" w:eastAsia="仿宋_GB2312" w:cs="仿宋_GB2312"/>
          <w:b w:val="0"/>
          <w:bCs w:val="0"/>
          <w:sz w:val="34"/>
          <w:szCs w:val="34"/>
          <w:lang w:val="en-US" w:eastAsia="zh-CN"/>
        </w:rPr>
        <w:t xml:space="preserve"> </w:t>
      </w:r>
      <w:r>
        <w:rPr>
          <w:rFonts w:hint="default" w:ascii="仿宋_GB2312" w:hAnsi="仿宋_GB2312" w:eastAsia="仿宋_GB2312" w:cs="仿宋_GB2312"/>
          <w:b w:val="0"/>
          <w:bCs w:val="0"/>
          <w:sz w:val="34"/>
          <w:szCs w:val="34"/>
          <w:lang w:val="en-US" w:eastAsia="zh-CN"/>
        </w:rPr>
        <w:t>卓越城区”目标，这一系列宏观战略导向将为城管执法工作明确发展方向，并提供持续的体制机制与政策保障。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二是</w:t>
      </w:r>
      <w:r>
        <w:rPr>
          <w:rFonts w:hint="default" w:ascii="仿宋_GB2312" w:hAnsi="仿宋_GB2312" w:eastAsia="仿宋_GB2312" w:cs="仿宋_GB2312"/>
          <w:b/>
          <w:bCs/>
          <w:sz w:val="34"/>
          <w:szCs w:val="34"/>
          <w:lang w:val="en-US" w:eastAsia="zh-CN"/>
        </w:rPr>
        <w:t>数字化转型驱动执法模式革新</w:t>
      </w:r>
      <w:r>
        <w:rPr>
          <w:rFonts w:hint="eastAsia" w:ascii="仿宋_GB2312" w:hAnsi="仿宋_GB2312" w:eastAsia="仿宋_GB2312" w:cs="仿宋_GB2312"/>
          <w:b/>
          <w:bCs/>
          <w:sz w:val="34"/>
          <w:szCs w:val="34"/>
          <w:lang w:val="en-US" w:eastAsia="zh-CN"/>
        </w:rPr>
        <w:t>。</w:t>
      </w:r>
      <w:r>
        <w:rPr>
          <w:rFonts w:hint="default" w:ascii="仿宋_GB2312" w:hAnsi="仿宋_GB2312" w:eastAsia="仿宋_GB2312" w:cs="仿宋_GB2312"/>
          <w:b w:val="0"/>
          <w:bCs w:val="0"/>
          <w:sz w:val="34"/>
          <w:szCs w:val="34"/>
          <w:lang w:val="en-US" w:eastAsia="zh-CN"/>
        </w:rPr>
        <w:t>国家与上海市深入推进数字化转型，为“智慧城管”建设注入强劲动力。静安区自身在数据智能产业方面已有布局，如提出建设“全球领先的数据智能赋能现代服务业创新发展示范区”</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"https://www.shanghai.gov.cn/nw15343/20250930/cd28ce19bd84416cabdd769dc6c8baca.html"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，并探讨设立区级数据跨境服务中心</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"https://www.shanghai.gov.cn/nw15343/20250930/cd28ce19bd84416cabdd769dc6c8baca.html"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。这些基础为城管执法领域广泛应用人工智能、大数据、物联网等技术，实现非现场执法、智能预警和精准溯源，全面提升执法效能和精细化水平创造了有利条件。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三是</w:t>
      </w:r>
      <w:r>
        <w:rPr>
          <w:rFonts w:hint="default" w:ascii="仿宋_GB2312" w:hAnsi="仿宋_GB2312" w:eastAsia="仿宋_GB2312" w:cs="仿宋_GB2312"/>
          <w:b/>
          <w:bCs/>
          <w:sz w:val="34"/>
          <w:szCs w:val="34"/>
          <w:lang w:val="en-US" w:eastAsia="zh-CN"/>
        </w:rPr>
        <w:t>消费能级提升与营商环境优化倒逼服务型执法转型</w:t>
      </w:r>
      <w:r>
        <w:rPr>
          <w:rFonts w:hint="eastAsia" w:ascii="仿宋_GB2312" w:hAnsi="仿宋_GB2312" w:eastAsia="仿宋_GB2312" w:cs="仿宋_GB2312"/>
          <w:b/>
          <w:bCs/>
          <w:sz w:val="34"/>
          <w:szCs w:val="34"/>
          <w:lang w:val="en-US" w:eastAsia="zh-CN"/>
        </w:rPr>
        <w:t>。</w:t>
      </w:r>
      <w:r>
        <w:rPr>
          <w:rFonts w:hint="default" w:ascii="仿宋_GB2312" w:hAnsi="仿宋_GB2312" w:eastAsia="仿宋_GB2312" w:cs="仿宋_GB2312"/>
          <w:b w:val="0"/>
          <w:bCs w:val="0"/>
          <w:sz w:val="34"/>
          <w:szCs w:val="34"/>
          <w:lang w:val="en-US" w:eastAsia="zh-CN"/>
        </w:rPr>
        <w:t>静安区致力于打造“具有全球标识度和影响力的潮流风向标、消费集聚地”</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"https://www.cnstock.com/commonDetail/521668"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。南京西路等商圈能级的持续提升，以及“烟火气”消费与“仪式感”消费的融合发展</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"https://www.shanghai.gov.cn/nw15343/20250930/cd28ce19bd84416cabdd769dc6c8baca.html"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对城区市容环境品质和维护市场秩序提出了更高要求。这将推动城管执法部门深化包容审慎监管，优化“城优十条”等营商助力服务包，通过柔性执法与服务型执法，更好平衡市容秩序与商业活力，营造国际一流的营商环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四是</w:t>
      </w:r>
      <w:r>
        <w:rPr>
          <w:rFonts w:hint="default" w:ascii="仿宋_GB2312" w:hAnsi="仿宋_GB2312" w:eastAsia="仿宋_GB2312" w:cs="仿宋_GB2312"/>
          <w:b/>
          <w:bCs/>
          <w:sz w:val="34"/>
          <w:szCs w:val="34"/>
          <w:lang w:val="en-US" w:eastAsia="zh-CN"/>
        </w:rPr>
        <w:t>人民城市建设引领治理重心下移</w:t>
      </w:r>
      <w:r>
        <w:rPr>
          <w:rFonts w:hint="eastAsia" w:ascii="仿宋_GB2312" w:hAnsi="仿宋_GB2312" w:eastAsia="仿宋_GB2312" w:cs="仿宋_GB2312"/>
          <w:b/>
          <w:bCs/>
          <w:sz w:val="34"/>
          <w:szCs w:val="34"/>
          <w:lang w:val="en-US" w:eastAsia="zh-CN"/>
        </w:rPr>
        <w:t>。</w:t>
      </w:r>
      <w:r>
        <w:rPr>
          <w:rFonts w:hint="default" w:ascii="仿宋_GB2312" w:hAnsi="仿宋_GB2312" w:eastAsia="仿宋_GB2312" w:cs="仿宋_GB2312"/>
          <w:b w:val="0"/>
          <w:bCs w:val="0"/>
          <w:sz w:val="34"/>
          <w:szCs w:val="34"/>
          <w:lang w:val="en-US" w:eastAsia="zh-CN"/>
        </w:rPr>
        <w:t>“十五五”规划强调“坚持惠民生和促消费、投资于物和投资于人紧密结合”</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"https://qwgzyj.gqb.gov.cn/cj/2025/10-23/10503490.shtml"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。上海及静安区持续推动治理资源向基层倾斜，区人大常委会也通过座谈会等形式，围绕城市更新、环境保护、社会治理等关键领域集思广益</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"https://www.shanghai.gov.cn/nw15343/20250930/cd28ce19bd84416cabdd769dc6c8baca.html"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。这要求城管执法工作必须深化“城管执法进社区”机制，聚焦“一老一小”</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"https://www.jingan.gov.cn/rmtzx/003008/003008003/20250728/73ab869d-42c6-46e2-b0a6-1178b3a15254.html"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、垃圾分类</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"https://www.shanghai.gov.cn/nw15343/20250930/cd28ce19bd84416cabdd769dc6c8baca.html"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、停车充电等民生关切，推动执法与服务深度融合，更好回应市民对美好生活的期待。</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五是</w:t>
      </w:r>
      <w:r>
        <w:rPr>
          <w:rFonts w:hint="default" w:ascii="仿宋_GB2312" w:hAnsi="仿宋_GB2312" w:eastAsia="仿宋_GB2312" w:cs="仿宋_GB2312"/>
          <w:b/>
          <w:bCs/>
          <w:sz w:val="34"/>
          <w:szCs w:val="34"/>
          <w:lang w:val="en-US" w:eastAsia="zh-CN"/>
        </w:rPr>
        <w:t>区域协调发展与城市更新释放综合治理空间</w:t>
      </w:r>
      <w:r>
        <w:rPr>
          <w:rFonts w:hint="eastAsia" w:ascii="仿宋_GB2312" w:hAnsi="仿宋_GB2312" w:eastAsia="仿宋_GB2312" w:cs="仿宋_GB2312"/>
          <w:b/>
          <w:bCs/>
          <w:sz w:val="34"/>
          <w:szCs w:val="34"/>
          <w:lang w:val="en-US" w:eastAsia="zh-CN"/>
        </w:rPr>
        <w:t>。</w:t>
      </w:r>
      <w:r>
        <w:rPr>
          <w:rFonts w:hint="default" w:ascii="仿宋_GB2312" w:hAnsi="仿宋_GB2312" w:eastAsia="仿宋_GB2312" w:cs="仿宋_GB2312"/>
          <w:b w:val="0"/>
          <w:bCs w:val="0"/>
          <w:sz w:val="34"/>
          <w:szCs w:val="34"/>
          <w:lang w:val="en-US" w:eastAsia="zh-CN"/>
        </w:rPr>
        <w:t>静安区着力优化“一轴三带”空间布局，推动南京西路、苏河湾、大宁、市北四大功能区高质量发展</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"https://www.jingan.gov.cn/rmtzx/003001/20250328/2fc2b3aa-1fb1-45f7-8f5f-9cbeecf84a73.html"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。在市委“十五五”规划编制部署中，也强调要“优化区域经济布局”</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"https://www.jxzfw.gov.cn/2025/1024/2025102467213.html"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这些重点区域的开发建设与老旧小区的城市更新，为城管执法部门源头介入违法建筑防控、工程渣土运输监管、历史风貌保护等难题提供了重要契机，有助于在实践中固化“管执联动”经验，形成全链条治理闭环。</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0" w:leftChars="0"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kern w:val="2"/>
          <w:sz w:val="34"/>
          <w:szCs w:val="34"/>
          <w:lang w:val="en-US" w:eastAsia="zh-CN" w:bidi="ar-SA"/>
        </w:rPr>
        <w:t>（二）</w:t>
      </w:r>
      <w:r>
        <w:rPr>
          <w:rFonts w:hint="eastAsia" w:ascii="楷体_GB2312" w:hAnsi="楷体_GB2312" w:eastAsia="楷体_GB2312" w:cs="楷体_GB2312"/>
          <w:b/>
          <w:bCs/>
          <w:sz w:val="34"/>
          <w:szCs w:val="34"/>
          <w:lang w:val="en-US" w:eastAsia="zh-CN"/>
        </w:rPr>
        <w:t>面临挑战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default" w:ascii="仿宋_GB2312" w:hAnsi="仿宋_GB2312" w:eastAsia="仿宋_GB2312" w:cs="仿宋_GB2312"/>
          <w:b w:val="0"/>
          <w:bCs w:val="0"/>
          <w:sz w:val="34"/>
          <w:szCs w:val="34"/>
          <w:lang w:val="en-US" w:eastAsia="zh-CN"/>
        </w:rPr>
      </w:pPr>
      <w:r>
        <w:rPr>
          <w:rFonts w:hint="default" w:ascii="仿宋_GB2312" w:hAnsi="仿宋_GB2312" w:eastAsia="仿宋_GB2312" w:cs="仿宋_GB2312"/>
          <w:b w:val="0"/>
          <w:bCs w:val="0"/>
          <w:sz w:val="34"/>
          <w:szCs w:val="34"/>
          <w:lang w:val="en-US" w:eastAsia="zh-CN"/>
        </w:rPr>
        <w:t>静安区城管综合执法工作在“十五五”时期同样面临诸多挑战与压力：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一是城市能级提升对执法标准与效能提出更高要求。</w:t>
      </w:r>
      <w:r>
        <w:rPr>
          <w:rFonts w:hint="default" w:ascii="仿宋_GB2312" w:hAnsi="仿宋_GB2312" w:eastAsia="仿宋_GB2312" w:cs="仿宋_GB2312"/>
          <w:b w:val="0"/>
          <w:bCs w:val="0"/>
          <w:sz w:val="34"/>
          <w:szCs w:val="34"/>
          <w:lang w:val="en-US" w:eastAsia="zh-CN"/>
        </w:rPr>
        <w:t>作为上海中心城区的核心区域，静安承载着高端商业、总部经济、国际交往等核心功能。南京西路商圈目标建成“千亿级商圈”</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"https://www.jazx.gov.cn/jyxc/004001/20250928/c7336540-8d1b-4926-99e5-17c5b4565e1e.html"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，苏河湾打造“世界级滨水中央活动区”</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"https://www.jazx.gov.cn/jyxc/004001/20250928/c7336540-8d1b-4926-99e5-17c5b4565e1e.html"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。这要求城管执法工作不能满足于一般性市容维护，必须在精细化、智能化、国际化方面树立更高标准，快速应对市容环境、街面秩序等领域出现的新问题，以卓越的城区环境支撑核心竞争力的提升。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二是</w:t>
      </w:r>
      <w:r>
        <w:rPr>
          <w:rFonts w:hint="default" w:ascii="仿宋_GB2312" w:hAnsi="仿宋_GB2312" w:eastAsia="仿宋_GB2312" w:cs="仿宋_GB2312"/>
          <w:b/>
          <w:bCs/>
          <w:sz w:val="34"/>
          <w:szCs w:val="34"/>
          <w:lang w:val="en-US" w:eastAsia="zh-CN"/>
        </w:rPr>
        <w:t>新经济业态快速发展衍生新型执法难题</w:t>
      </w:r>
      <w:r>
        <w:rPr>
          <w:rFonts w:hint="eastAsia" w:ascii="仿宋_GB2312" w:hAnsi="仿宋_GB2312" w:eastAsia="仿宋_GB2312" w:cs="仿宋_GB2312"/>
          <w:b/>
          <w:bCs/>
          <w:sz w:val="34"/>
          <w:szCs w:val="34"/>
          <w:lang w:val="en-US" w:eastAsia="zh-CN"/>
        </w:rPr>
        <w:t>。</w:t>
      </w:r>
      <w:r>
        <w:rPr>
          <w:rFonts w:hint="default" w:ascii="仿宋_GB2312" w:hAnsi="仿宋_GB2312" w:eastAsia="仿宋_GB2312" w:cs="仿宋_GB2312"/>
          <w:b w:val="0"/>
          <w:bCs w:val="0"/>
          <w:sz w:val="34"/>
          <w:szCs w:val="34"/>
          <w:lang w:val="en-US" w:eastAsia="zh-CN"/>
        </w:rPr>
        <w:t>随着平台经济、在线消费、共享经济等新模式涌现，城市管理面临共享单车乱停放、快递外卖占道、网红店外摆位、夜间经济噪音扰民等新挑战。同时，静安区重点发展的数据智能、生命健康等新兴产业</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"https://www.jazx.gov.cn/jyxc/004001/20250928/c7336540-8d1b-4926-99e5-17c5b4565e1e.html"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，也可能带来新的监管盲区。城管执法队伍在法律法规适用、取证手段、监管方式等方面亟待更新知识储备，提升对新兴复杂案件的查处能力。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三是</w:t>
      </w:r>
      <w:r>
        <w:rPr>
          <w:rFonts w:hint="default" w:ascii="仿宋_GB2312" w:hAnsi="仿宋_GB2312" w:eastAsia="仿宋_GB2312" w:cs="仿宋_GB2312"/>
          <w:b/>
          <w:bCs/>
          <w:sz w:val="34"/>
          <w:szCs w:val="34"/>
          <w:lang w:val="en-US" w:eastAsia="zh-CN"/>
        </w:rPr>
        <w:t>超大城市治理顽症根治难度依然较大</w:t>
      </w:r>
      <w:r>
        <w:rPr>
          <w:rFonts w:hint="eastAsia" w:ascii="仿宋_GB2312" w:hAnsi="仿宋_GB2312" w:eastAsia="仿宋_GB2312" w:cs="仿宋_GB2312"/>
          <w:b/>
          <w:bCs/>
          <w:sz w:val="34"/>
          <w:szCs w:val="34"/>
          <w:lang w:val="en-US" w:eastAsia="zh-CN"/>
        </w:rPr>
        <w:t>。</w:t>
      </w:r>
      <w:r>
        <w:rPr>
          <w:rFonts w:hint="default" w:ascii="仿宋_GB2312" w:hAnsi="仿宋_GB2312" w:eastAsia="仿宋_GB2312" w:cs="仿宋_GB2312"/>
          <w:b w:val="0"/>
          <w:bCs w:val="0"/>
          <w:sz w:val="34"/>
          <w:szCs w:val="34"/>
          <w:lang w:val="en-US" w:eastAsia="zh-CN"/>
        </w:rPr>
        <w:t>尽管“十四五”期间违建治理、市容整治成效显著，但工程渣土运输、违法建筑防控、“居改非”等涉及多方利益的领域，治理成果易出现反复。华山医院等重点区域周边的动态性管理难题投诉量仍处高位。此外，静安区“南高北低”的发展差距</w:t>
      </w:r>
      <w:r>
        <w:rPr>
          <w:rFonts w:hint="default" w:ascii="仿宋_GB2312" w:hAnsi="仿宋_GB2312" w:eastAsia="仿宋_GB2312" w:cs="仿宋_GB2312"/>
          <w:b w:val="0"/>
          <w:bCs w:val="0"/>
          <w:sz w:val="34"/>
          <w:szCs w:val="34"/>
          <w:lang w:val="en-US" w:eastAsia="zh-CN"/>
        </w:rPr>
        <w:fldChar w:fldCharType="begin"/>
      </w:r>
      <w:r>
        <w:rPr>
          <w:rFonts w:hint="default" w:ascii="仿宋_GB2312" w:hAnsi="仿宋_GB2312" w:eastAsia="仿宋_GB2312" w:cs="仿宋_GB2312"/>
          <w:b w:val="0"/>
          <w:bCs w:val="0"/>
          <w:sz w:val="34"/>
          <w:szCs w:val="34"/>
          <w:lang w:val="en-US" w:eastAsia="zh-CN"/>
        </w:rPr>
        <w:instrText xml:space="preserve"> HYPERLINK "https://www.jazx.gov.cn/jyxc/004001/20250928/c7336540-8d1b-4926-99e5-17c5b4565e1e.html" \t "https://chat.deepseek.com/a/chat/s/_blank" </w:instrText>
      </w:r>
      <w:r>
        <w:rPr>
          <w:rFonts w:hint="default" w:ascii="仿宋_GB2312" w:hAnsi="仿宋_GB2312" w:eastAsia="仿宋_GB2312" w:cs="仿宋_GB2312"/>
          <w:b w:val="0"/>
          <w:bCs w:val="0"/>
          <w:sz w:val="34"/>
          <w:szCs w:val="34"/>
          <w:lang w:val="en-US" w:eastAsia="zh-CN"/>
        </w:rPr>
        <w:fldChar w:fldCharType="separate"/>
      </w:r>
      <w:r>
        <w:rPr>
          <w:rFonts w:hint="default" w:ascii="仿宋_GB2312" w:hAnsi="仿宋_GB2312" w:eastAsia="仿宋_GB2312" w:cs="仿宋_GB2312"/>
          <w:b w:val="0"/>
          <w:bCs w:val="0"/>
          <w:sz w:val="34"/>
          <w:szCs w:val="34"/>
          <w:lang w:val="en-US" w:eastAsia="zh-CN"/>
        </w:rPr>
        <w:fldChar w:fldCharType="end"/>
      </w:r>
      <w:r>
        <w:rPr>
          <w:rFonts w:hint="default" w:ascii="仿宋_GB2312" w:hAnsi="仿宋_GB2312" w:eastAsia="仿宋_GB2312" w:cs="仿宋_GB2312"/>
          <w:b w:val="0"/>
          <w:bCs w:val="0"/>
          <w:sz w:val="34"/>
          <w:szCs w:val="34"/>
          <w:lang w:val="en-US" w:eastAsia="zh-CN"/>
        </w:rPr>
        <w:t>，也要求执法工作必须针对不同区域特点精准施策，避免治理成效不均衡。</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四是</w:t>
      </w:r>
      <w:r>
        <w:rPr>
          <w:rFonts w:hint="default" w:ascii="仿宋_GB2312" w:hAnsi="仿宋_GB2312" w:eastAsia="仿宋_GB2312" w:cs="仿宋_GB2312"/>
          <w:b/>
          <w:bCs/>
          <w:sz w:val="34"/>
          <w:szCs w:val="34"/>
          <w:lang w:val="en-US" w:eastAsia="zh-CN"/>
        </w:rPr>
        <w:t>队伍能力建设与高质量发展需求存在差距</w:t>
      </w:r>
      <w:r>
        <w:rPr>
          <w:rFonts w:hint="eastAsia" w:ascii="仿宋_GB2312" w:hAnsi="仿宋_GB2312" w:eastAsia="仿宋_GB2312" w:cs="仿宋_GB2312"/>
          <w:b/>
          <w:bCs/>
          <w:sz w:val="34"/>
          <w:szCs w:val="34"/>
          <w:lang w:val="en-US" w:eastAsia="zh-CN"/>
        </w:rPr>
        <w:t>。</w:t>
      </w:r>
      <w:r>
        <w:rPr>
          <w:rFonts w:hint="default" w:ascii="仿宋_GB2312" w:hAnsi="仿宋_GB2312" w:eastAsia="仿宋_GB2312" w:cs="仿宋_GB2312"/>
          <w:b w:val="0"/>
          <w:bCs w:val="0"/>
          <w:sz w:val="34"/>
          <w:szCs w:val="34"/>
          <w:lang w:val="en-US" w:eastAsia="zh-CN"/>
        </w:rPr>
        <w:t>面对新划转的103项执法事项和日益复杂的执法环境，部分执法人员在法律素养、证据固定、科技应用及群众工作能力方面存在短板。复合型人才、专业领军人才相对匮乏。同时，街镇综合行政执法队全面承接下沉事项后，区级层面在业务指导、监督考核、效能评估等方面的有效抓手仍显不足，影响了全区执法工作均衡发展和整体效能提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五是</w:t>
      </w:r>
      <w:r>
        <w:rPr>
          <w:rFonts w:hint="default" w:ascii="仿宋_GB2312" w:hAnsi="仿宋_GB2312" w:eastAsia="仿宋_GB2312" w:cs="仿宋_GB2312"/>
          <w:b/>
          <w:bCs/>
          <w:sz w:val="34"/>
          <w:szCs w:val="34"/>
          <w:lang w:val="en-US" w:eastAsia="zh-CN"/>
        </w:rPr>
        <w:t>多元社会诉求对执法平衡艺术带来严峻考验</w:t>
      </w:r>
      <w:r>
        <w:rPr>
          <w:rFonts w:hint="eastAsia" w:ascii="仿宋_GB2312" w:hAnsi="仿宋_GB2312" w:eastAsia="仿宋_GB2312" w:cs="仿宋_GB2312"/>
          <w:b/>
          <w:bCs/>
          <w:sz w:val="34"/>
          <w:szCs w:val="34"/>
          <w:lang w:val="en-US" w:eastAsia="zh-CN"/>
        </w:rPr>
        <w:t>。</w:t>
      </w:r>
      <w:r>
        <w:rPr>
          <w:rFonts w:hint="default" w:ascii="仿宋_GB2312" w:hAnsi="仿宋_GB2312" w:eastAsia="仿宋_GB2312" w:cs="仿宋_GB2312"/>
          <w:b w:val="0"/>
          <w:bCs w:val="0"/>
          <w:sz w:val="34"/>
          <w:szCs w:val="34"/>
          <w:lang w:val="en-US" w:eastAsia="zh-CN"/>
        </w:rPr>
        <w:t>静安区人口结构多元、社会阶层丰富，不同群体对城市管理的诉求差异大，甚至存在冲突。例如，商业活力与居住安宁、严格执法与柔性包容、历史风貌保护与物业正常使用等关系难以把握。城管执法工作必须在严格依法行政的前提下，统筹兼顾不同利益诉求，精准拿捏执法尺度，这对执法人员的群众工作能力、沟通艺术和风险化解水平构成了持续挑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三、指导思想、基本原则和总体目标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（一）指导思想</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坚持以习近平新时代中国特色社会主义思想为指导，全面贯彻党的二十大和二十届三中全会精神，深入落实习近平总书记考察上海重要讲话精神，牢固树立以人民为中心的发展思想，紧扣上海“五个中心”建设和静安“国际静安 卓越城区”目标，以推动高质量发展为主题，以深化综合行政执法改革为动力，围绕“五个城管”建设，全面推进城管执法能力现代化、执法方式精细化、执法手段智慧化，构建权责清晰、运行高效、行为规范、充满活力的城管综合执法工作体制，为静安全面建设卓越的现代化国际城区提供坚实执法保障。</w:t>
      </w: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基本原则</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一是坚持人民至上。</w:t>
      </w:r>
      <w:r>
        <w:rPr>
          <w:rFonts w:hint="eastAsia" w:ascii="仿宋_GB2312" w:hAnsi="仿宋_GB2312" w:eastAsia="仿宋_GB2312" w:cs="仿宋_GB2312"/>
          <w:b w:val="0"/>
          <w:bCs w:val="0"/>
          <w:sz w:val="34"/>
          <w:szCs w:val="34"/>
          <w:lang w:val="en-US" w:eastAsia="zh-CN"/>
        </w:rPr>
        <w:t>始终秉持以人民为中心的城管执法理念，强化宗旨意识和服务意识，将增进民生福祉作为城管执法工作的出发点和落脚点。持续优化执法方式，改进工作作风，提升管理质量，切实解决群众急难愁盼问题，努力提升市民获得感、幸福感、安全感。</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二是坚持依法行政。</w:t>
      </w:r>
      <w:r>
        <w:rPr>
          <w:rFonts w:hint="eastAsia" w:ascii="仿宋_GB2312" w:hAnsi="仿宋_GB2312" w:eastAsia="仿宋_GB2312" w:cs="仿宋_GB2312"/>
          <w:b w:val="0"/>
          <w:bCs w:val="0"/>
          <w:sz w:val="34"/>
          <w:szCs w:val="34"/>
          <w:lang w:val="en-US" w:eastAsia="zh-CN"/>
        </w:rPr>
        <w:t>强化法治思维和法治能力，严格执法程序，规范执法行为，认真履行依法行政职责。加大执法力度，同时注重执法温度，塑造城管队伍为民服务、文明执法的良好形象。全面落实行政执法“三项制度”，规范执法标准、执法文书以及行政处罚事项裁量基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三是坚持创新协调。</w:t>
      </w:r>
      <w:r>
        <w:rPr>
          <w:rFonts w:hint="eastAsia" w:ascii="仿宋_GB2312" w:hAnsi="仿宋_GB2312" w:eastAsia="仿宋_GB2312" w:cs="仿宋_GB2312"/>
          <w:b w:val="0"/>
          <w:bCs w:val="0"/>
          <w:sz w:val="34"/>
          <w:szCs w:val="34"/>
          <w:lang w:val="en-US" w:eastAsia="zh-CN"/>
        </w:rPr>
        <w:t>注重政策措施的协调与衔接，强化部门间的联动配合。以智慧城市建设为契机，探索网格化管理、社会化服务的新路径，不断提升服务管理的精细化水平。推动部门间协调联动，促进基础信息共建共享，逐步形成高效运行的工作机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四是坚持智慧引领。</w:t>
      </w:r>
      <w:r>
        <w:rPr>
          <w:rFonts w:hint="eastAsia" w:ascii="仿宋_GB2312" w:hAnsi="仿宋_GB2312" w:eastAsia="仿宋_GB2312" w:cs="仿宋_GB2312"/>
          <w:b w:val="0"/>
          <w:bCs w:val="0"/>
          <w:sz w:val="34"/>
          <w:szCs w:val="34"/>
          <w:lang w:val="en-US" w:eastAsia="zh-CN"/>
        </w:rPr>
        <w:t>紧扣数字化转型趋势，以新一代信息技术为支撑，推进智慧城管迭代升级。筑牢数据底座，强化执法数据汇总、分析和应用，以数据赋能执法，推动基层治理数字化。拓展各类场景的应用覆盖面，提升一线队员的数字化应用能力，切实做到实战管用、基层爱用。</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83"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bCs/>
          <w:sz w:val="34"/>
          <w:szCs w:val="34"/>
          <w:lang w:val="en-US" w:eastAsia="zh-CN"/>
        </w:rPr>
        <w:t>五是坚持共治共享。</w:t>
      </w:r>
      <w:r>
        <w:rPr>
          <w:rFonts w:hint="eastAsia" w:ascii="仿宋_GB2312" w:hAnsi="仿宋_GB2312" w:eastAsia="仿宋_GB2312" w:cs="仿宋_GB2312"/>
          <w:b w:val="0"/>
          <w:bCs w:val="0"/>
          <w:sz w:val="34"/>
          <w:szCs w:val="34"/>
          <w:lang w:val="en-US" w:eastAsia="zh-CN"/>
        </w:rPr>
        <w:t>深入推进“多格合一”机制，整合治理资源，构建政府治理、社会调节、企业协同、公众参与的城市治理共同体。创新群众参与机制，搭建多元互动平台，形成人人参与、人人负责、人人奉献、人人共享的城市治理新格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（三）总体目标</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leftChars="0" w:firstLine="680" w:firstLineChars="200"/>
        <w:textAlignment w:val="auto"/>
        <w:rPr>
          <w:rFonts w:hint="default"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十五五”期间，静安城管综合执法工作需要全面践行人民城市重要理念，在现代化人民城市建设上去的新进步、展现新形象、树立新标杆。要围绕“贴心城管、阳光城管、平安城管、绿色城管、智慧城管”五个城管建设，着力提升守护城市安全底线、保护生态环境环境品质、服务经济健康发展、维护社会和谐稳定的能力，更好的维护城市公共安全、公共秩序、公共利益推动依法治理、综合治理、源头治理，有效破解超大型城市治理难题，提高人民获得感和幸福感。</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四、主要任务</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（一）持续深化综合行政执法体制改革，助力现代化人民城市转型发展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b/>
          <w:bCs/>
          <w:sz w:val="34"/>
          <w:szCs w:val="34"/>
          <w:lang w:val="en-US" w:eastAsia="zh-CN"/>
        </w:rPr>
        <w:t>一是深化局队体制机制优化。</w:t>
      </w:r>
      <w:r>
        <w:rPr>
          <w:rFonts w:hint="eastAsia" w:ascii="仿宋_GB2312" w:hAnsi="仿宋_GB2312" w:eastAsia="仿宋_GB2312" w:cs="仿宋_GB2312"/>
          <w:sz w:val="34"/>
          <w:szCs w:val="34"/>
          <w:lang w:val="en-US" w:eastAsia="zh-CN"/>
        </w:rPr>
        <w:t>为应对新划转的103项执法事项带来的挑战与机遇，全面优化局本级执法力量配置。强化局机动中队的综合执法与应急攻坚能力，将其打造为处置复杂案件、支援基层一线的核心力量。推动局机关人员力量下沉与结构重组，扩充并新设数个专业化直属中队，聚焦跨区域、专业化、重大疑难案件，形成与街镇中队错位发展、优势互补的立体化执法格局，全面提升区级层面的统筹执法与专业执法能力。</w:t>
      </w:r>
      <w:r>
        <w:rPr>
          <w:rFonts w:hint="eastAsia" w:ascii="仿宋_GB2312" w:hAnsi="仿宋_GB2312" w:eastAsia="仿宋_GB2312" w:cs="仿宋_GB2312"/>
          <w:b/>
          <w:bCs/>
          <w:sz w:val="34"/>
          <w:szCs w:val="34"/>
          <w:lang w:val="en-US" w:eastAsia="zh-CN"/>
        </w:rPr>
        <w:t>二是推动行政执法教育培训体系能级提升。</w:t>
      </w:r>
      <w:r>
        <w:rPr>
          <w:rFonts w:hint="eastAsia" w:ascii="仿宋_GB2312" w:hAnsi="仿宋_GB2312" w:eastAsia="仿宋_GB2312" w:cs="仿宋_GB2312"/>
          <w:sz w:val="34"/>
          <w:szCs w:val="34"/>
          <w:lang w:val="en-US" w:eastAsia="zh-CN"/>
        </w:rPr>
        <w:t>深入贯彻“以人民为中心”的发展理念，将静安区城管执法综合学院打造为培养革命化、正规化、专业化、职业化行政执法队伍的核心平台。坚持“部门协作、资源集成、高能级建设”原则，深化“3+3+5”建设框架：即立足执法队伍锻造、服务静安卓越发展、强化全市引领示范三重定位；依托区委组织部、区城管执法局、区委党校三大主体联动；全面建成集教学培训、实战演练、理论研究、模式创新、融合协作五大功能于一体的高能级综合行政执法人才培养基地。通过系统化、专业化、精准化的培训体系，全面提升执法队伍的政治素养、法治思维、业务能力和群众工作水平，为超大城市治理现代化提供坚强的人才支撑。</w:t>
      </w:r>
      <w:r>
        <w:rPr>
          <w:rFonts w:hint="eastAsia" w:ascii="仿宋_GB2312" w:hAnsi="仿宋_GB2312" w:eastAsia="仿宋_GB2312" w:cs="仿宋_GB2312"/>
          <w:b/>
          <w:bCs/>
          <w:sz w:val="34"/>
          <w:szCs w:val="34"/>
          <w:lang w:val="en-US" w:eastAsia="zh-CN"/>
        </w:rPr>
        <w:t>三是健全“管执联动”协同机制。</w:t>
      </w:r>
      <w:r>
        <w:rPr>
          <w:rFonts w:hint="eastAsia" w:ascii="仿宋_GB2312" w:hAnsi="仿宋_GB2312" w:eastAsia="仿宋_GB2312" w:cs="仿宋_GB2312"/>
          <w:sz w:val="34"/>
          <w:szCs w:val="34"/>
          <w:lang w:val="en-US" w:eastAsia="zh-CN"/>
        </w:rPr>
        <w:t>构建覆盖源头监管、过程监控、末端执法的全链条“管执联动”工作体系。建立健全行业管理部门与综合行政执法部门之间的信息共享、案件移送、联合巡查、协调会商机制，明确职责边界，形成监管合力。依托“一网统管”平台，打通业务数据壁垒，实现行政许可、行政检查、行政处罚信息的双向实时推送与闭环管理，确保违法行为“及时发现、即时响应、精准处置”，提升城市治理的整体效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（二）以“贴心城管”建设，体察急难愁盼，假设社情民意“神经元</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b/>
          <w:bCs/>
          <w:sz w:val="34"/>
          <w:szCs w:val="34"/>
          <w:lang w:val="en-US" w:eastAsia="zh-CN"/>
        </w:rPr>
        <w:t>一是深化城管执法进社区工作。</w:t>
      </w:r>
      <w:r>
        <w:rPr>
          <w:rFonts w:hint="eastAsia" w:ascii="仿宋_GB2312" w:hAnsi="仿宋_GB2312" w:eastAsia="仿宋_GB2312" w:cs="仿宋_GB2312"/>
          <w:sz w:val="34"/>
          <w:szCs w:val="34"/>
          <w:lang w:val="en-US" w:eastAsia="zh-CN"/>
        </w:rPr>
        <w:t>全面推行“社区联系卡”制度，将执法队员的职责、联系方式、监督渠道公示到每一个居民区，实现“一区一卡、一户一知”，打通服务群众的“最后一公里”。建立社区定期接待与走访制度，变“被动接单”为“主动问需”，将矛盾化解在基层、问题解决在一线。</w:t>
      </w:r>
      <w:r>
        <w:rPr>
          <w:rFonts w:hint="eastAsia" w:ascii="仿宋_GB2312" w:hAnsi="仿宋_GB2312" w:eastAsia="仿宋_GB2312" w:cs="仿宋_GB2312"/>
          <w:b/>
          <w:bCs/>
          <w:sz w:val="34"/>
          <w:szCs w:val="34"/>
          <w:lang w:val="en-US" w:eastAsia="zh-CN"/>
        </w:rPr>
        <w:t>二是优化“贴心城管”智慧云平台与诉件处置。</w:t>
      </w:r>
      <w:r>
        <w:rPr>
          <w:rFonts w:hint="eastAsia" w:ascii="仿宋_GB2312" w:hAnsi="仿宋_GB2312" w:eastAsia="仿宋_GB2312" w:cs="仿宋_GB2312"/>
          <w:sz w:val="34"/>
          <w:szCs w:val="34"/>
          <w:lang w:val="en-US" w:eastAsia="zh-CN"/>
        </w:rPr>
        <w:t>将“贴心城管进社区”智慧云小程序的服务范围延伸至全区14个街镇，持续迭代升级功能模块。新增“燃气安全一键检测申请”“装修垃圾规范清运指引”“夜间施工噪音投诉”等高频便民服务功能，实现群众诉求“一键直达”。优化内部处置流程，推动诉求平均处理时长缩短30%以上。强化平台数据挖掘与应用，精准定位高频问题区域与类型，初步建成问题预判模型，推动社区治理模式从“被动响应”向“主动预判”转变，为精准施策提供数据支撑。</w:t>
      </w:r>
      <w:r>
        <w:rPr>
          <w:rFonts w:hint="eastAsia" w:ascii="仿宋_GB2312" w:hAnsi="仿宋_GB2312" w:eastAsia="仿宋_GB2312" w:cs="仿宋_GB2312"/>
          <w:b/>
          <w:bCs/>
          <w:sz w:val="34"/>
          <w:szCs w:val="34"/>
          <w:lang w:val="en-US" w:eastAsia="zh-CN"/>
        </w:rPr>
        <w:t>三是强化党建引领下的物业治理协同。</w:t>
      </w:r>
      <w:r>
        <w:rPr>
          <w:rFonts w:hint="eastAsia" w:ascii="仿宋_GB2312" w:hAnsi="仿宋_GB2312" w:eastAsia="仿宋_GB2312" w:cs="仿宋_GB2312"/>
          <w:sz w:val="34"/>
          <w:szCs w:val="34"/>
          <w:lang w:val="en-US" w:eastAsia="zh-CN"/>
        </w:rPr>
        <w:t>全面推广“楼宇城管工作室”模式，实现全区重点商务楼宇与大型商圈执法服务全覆盖，做到“企业诉求就近办、执法服务上门办”，营造一流营商环境。聚焦静安寺、南京西路等历史风貌区和历史建筑密集区域，探索形成“巡查-发现-劝阻-报告-执法-修复”的历史</w:t>
      </w:r>
      <w:r>
        <w:rPr>
          <w:rFonts w:hint="eastAsia" w:ascii="仿宋_GB2312" w:hAnsi="仿宋_GB2312" w:eastAsia="仿宋_GB2312" w:cs="仿宋_GB2312"/>
          <w:b w:val="0"/>
          <w:bCs w:val="0"/>
          <w:sz w:val="34"/>
          <w:szCs w:val="34"/>
          <w:lang w:val="en-US" w:eastAsia="zh-CN"/>
        </w:rPr>
        <w:t>建筑</w:t>
      </w:r>
      <w:r>
        <w:rPr>
          <w:rFonts w:hint="eastAsia" w:ascii="仿宋_GB2312" w:hAnsi="仿宋_GB2312" w:eastAsia="仿宋_GB2312" w:cs="仿宋_GB2312"/>
          <w:sz w:val="34"/>
          <w:szCs w:val="34"/>
          <w:lang w:val="en-US" w:eastAsia="zh-CN"/>
        </w:rPr>
        <w:t>保护执法监管闭环，总结提炼形成一套可复制、可推广的历史建筑保护执法工作样板，守护城市文脉。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(三)以“阳光城管”建设，提升队伍素质，刷新行业形象“印象分”</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b/>
          <w:bCs/>
          <w:sz w:val="34"/>
          <w:szCs w:val="34"/>
          <w:lang w:val="en-US" w:eastAsia="zh-CN"/>
        </w:rPr>
        <w:t>一是构建规范公正的文明执法体系。</w:t>
      </w:r>
      <w:r>
        <w:rPr>
          <w:rFonts w:hint="eastAsia" w:ascii="仿宋_GB2312" w:hAnsi="仿宋_GB2312" w:eastAsia="仿宋_GB2312" w:cs="仿宋_GB2312"/>
          <w:sz w:val="34"/>
          <w:szCs w:val="34"/>
          <w:lang w:val="en-US" w:eastAsia="zh-CN"/>
        </w:rPr>
        <w:t>完善从立案到结案的各环节法治标准规范。加强基层立法联系点建设，围绕执法协作、执法保障、结果应用等基层痛点，主动向立法单位反馈建议，提升立法参与度与引领力。加强对基层重大疑难案件的业务指导，定期梳理并发布重点领域（如新业态监管、复杂违建认定等）的执法口径、典型案例和操作指引。推动法治指导与服务数字化转型，建立线上法律支持系统，强化即时响应、专业支撑、协同攻关的业务指导能力。定期通报行政复议与行政诉讼情况，发布典型案例，以案释法，提升全员依法行政意识和风险防范能力。</w:t>
      </w:r>
      <w:r>
        <w:rPr>
          <w:rFonts w:hint="eastAsia" w:ascii="仿宋_GB2312" w:hAnsi="仿宋_GB2312" w:eastAsia="仿宋_GB2312" w:cs="仿宋_GB2312"/>
          <w:b/>
          <w:bCs/>
          <w:sz w:val="34"/>
          <w:szCs w:val="34"/>
          <w:lang w:val="en-US" w:eastAsia="zh-CN"/>
        </w:rPr>
        <w:t>二是健全全覆盖的执法监督网络。</w:t>
      </w:r>
      <w:r>
        <w:rPr>
          <w:rFonts w:hint="eastAsia" w:ascii="仿宋_GB2312" w:hAnsi="仿宋_GB2312" w:eastAsia="仿宋_GB2312" w:cs="仿宋_GB2312"/>
          <w:sz w:val="34"/>
          <w:szCs w:val="34"/>
          <w:lang w:val="en-US" w:eastAsia="zh-CN"/>
        </w:rPr>
        <w:t>构建内部监督、层级监督、社会监督“三位一体”的执法监督体系。严格落实行政执法公示、执法全过程记录、重大执法决定法制审核“三项制度”。应用执法记录仪数据管理平台和办案系统，实现对执法活动的全程留痕与可回溯管理。建立区局对街镇中队的常态化案卷评查与执法评议机制，将评议结果纳入绩效考核。畅通“12345”“12319”等社会监督渠道，主动接受人大、政协、媒体和公众监督。</w:t>
      </w:r>
      <w:r>
        <w:rPr>
          <w:rFonts w:hint="eastAsia" w:ascii="仿宋_GB2312" w:hAnsi="仿宋_GB2312" w:eastAsia="仿宋_GB2312" w:cs="仿宋_GB2312"/>
          <w:b/>
          <w:bCs/>
          <w:sz w:val="34"/>
          <w:szCs w:val="34"/>
          <w:lang w:val="en-US" w:eastAsia="zh-CN"/>
        </w:rPr>
        <w:t>三是实施多维度的社会形象塑造工程。</w:t>
      </w:r>
      <w:r>
        <w:rPr>
          <w:rFonts w:hint="eastAsia" w:ascii="仿宋_GB2312" w:hAnsi="仿宋_GB2312" w:eastAsia="仿宋_GB2312" w:cs="仿宋_GB2312"/>
          <w:sz w:val="34"/>
          <w:szCs w:val="34"/>
          <w:lang w:val="en-US" w:eastAsia="zh-CN"/>
        </w:rPr>
        <w:t>系统化策划城管形象宣传。精心组织“7·15城管公众开放日”等品牌活动，打造具有静安特色的“五个城管形象IP”，使其成为连接市民的亲切纽带。持续运营并创新微信公众号、视频号、抖音等官方新媒体平台的内容与形式，通过典型案例解读、执法过程纪实（在合规前提下）、政策法规科普、人物故事讲述等方式，主动展示城管队伍的专业素养、为民情怀与良好风貌，提升社会认知度和美誉度。</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(四)以“平安城管”建设，夯实安全底线，拧紧城市运行“安全阀”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b/>
          <w:bCs/>
          <w:sz w:val="34"/>
          <w:szCs w:val="34"/>
          <w:lang w:val="en-US" w:eastAsia="zh-CN"/>
        </w:rPr>
        <w:t>一是实施“平安蓝盾”城市运行安全保障计划。</w:t>
      </w:r>
      <w:r>
        <w:rPr>
          <w:rFonts w:hint="eastAsia" w:ascii="仿宋_GB2312" w:hAnsi="仿宋_GB2312" w:eastAsia="仿宋_GB2312" w:cs="仿宋_GB2312"/>
          <w:sz w:val="34"/>
          <w:szCs w:val="34"/>
          <w:lang w:val="en-US" w:eastAsia="zh-CN"/>
        </w:rPr>
        <w:t>持续深化城镇燃气安全领域执法，加强与市场监管、消防、应急管理等部门的联合执法，对餐饮企业、老旧小区、燃气供应站点等重点场所开展常态化巡查与专项整治，严厉打击“黑气”和燃气设施安全隐患。全力推进电动自行车安全治理，聚焦住宅小区，重点查处“飞线充电”“蓄电池入户充电”“携带蓄电池进入电梯”等突出违法行为，加强与物业、业委会的联动，疏堵结合，推动充电设施建设，保障市民生命财产安全。</w:t>
      </w:r>
      <w:r>
        <w:rPr>
          <w:rFonts w:hint="eastAsia" w:ascii="仿宋_GB2312" w:hAnsi="仿宋_GB2312" w:eastAsia="仿宋_GB2312" w:cs="仿宋_GB2312"/>
          <w:b/>
          <w:bCs/>
          <w:sz w:val="34"/>
          <w:szCs w:val="34"/>
          <w:lang w:val="en-US" w:eastAsia="zh-CN"/>
        </w:rPr>
        <w:t>二是推进违建治理与低效用地提质增效。</w:t>
      </w:r>
      <w:r>
        <w:rPr>
          <w:rFonts w:hint="eastAsia" w:ascii="仿宋_GB2312" w:hAnsi="仿宋_GB2312" w:eastAsia="仿宋_GB2312" w:cs="仿宋_GB2312"/>
          <w:sz w:val="34"/>
          <w:szCs w:val="34"/>
          <w:lang w:val="en-US" w:eastAsia="zh-CN"/>
        </w:rPr>
        <w:t>保持对新增违法建筑“零容忍”的高压态势，健全快速发现、即时处置机制。持续推进存量违建综合治理，聚焦存在安全隐患、影响城市规划、侵占公共空间的典型案例，依法予以拆除。加强违建治理与城市更新、低效用地再开发的联动，释放城市空间资源，优化城区功能布局，提升城市品质和发展能级。</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(五)以“绿色城管”建设，优化生活品质，点亮国际城区“会客厅”</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仿宋_GB2312" w:hAnsi="仿宋_GB2312" w:eastAsia="仿宋_GB2312" w:cs="仿宋_GB2312"/>
          <w:sz w:val="34"/>
          <w:szCs w:val="34"/>
          <w:lang w:val="en-US" w:eastAsia="zh-CN"/>
        </w:rPr>
      </w:pPr>
      <w:r>
        <w:rPr>
          <w:rFonts w:hint="eastAsia" w:ascii="仿宋_GB2312" w:hAnsi="仿宋_GB2312" w:eastAsia="仿宋_GB2312" w:cs="仿宋_GB2312"/>
          <w:b/>
          <w:bCs/>
          <w:sz w:val="34"/>
          <w:szCs w:val="34"/>
          <w:lang w:val="en-US" w:eastAsia="zh-CN"/>
        </w:rPr>
        <w:t>一是加强生态环境领域专项治理。</w:t>
      </w:r>
      <w:r>
        <w:rPr>
          <w:rFonts w:hint="eastAsia" w:ascii="仿宋_GB2312" w:hAnsi="仿宋_GB2312" w:eastAsia="仿宋_GB2312" w:cs="仿宋_GB2312"/>
          <w:sz w:val="34"/>
          <w:szCs w:val="34"/>
          <w:lang w:val="en-US" w:eastAsia="zh-CN"/>
        </w:rPr>
        <w:t>强化建筑工地、文化娱乐场所、商业经营活动等噪声污染执法，为市民营造宁静生活环境。依托装修垃圾申报系统和联合巡查，规范建筑垃圾从产生、运输到处置的全过程监管，严厉打击偷倒乱倒行为。持续深化生活垃圾分类执法检查，推动居民区、单位、沿街商铺垃圾分类常态长效，提升城市资源化利用水平和生态环境品质。</w:t>
      </w:r>
      <w:r>
        <w:rPr>
          <w:rFonts w:hint="eastAsia" w:ascii="仿宋_GB2312" w:hAnsi="仿宋_GB2312" w:eastAsia="仿宋_GB2312" w:cs="仿宋_GB2312"/>
          <w:b/>
          <w:bCs/>
          <w:sz w:val="34"/>
          <w:szCs w:val="34"/>
          <w:lang w:val="en-US" w:eastAsia="zh-CN"/>
        </w:rPr>
        <w:t>二是深化包容审慎监管优化营商环境。</w:t>
      </w:r>
      <w:r>
        <w:rPr>
          <w:rFonts w:hint="eastAsia" w:ascii="仿宋_GB2312" w:hAnsi="仿宋_GB2312" w:eastAsia="仿宋_GB2312" w:cs="仿宋_GB2312"/>
          <w:sz w:val="34"/>
          <w:szCs w:val="34"/>
          <w:lang w:val="en-US" w:eastAsia="zh-CN"/>
        </w:rPr>
        <w:t>全面推行并动态完善“首违免罚”“轻微违法不予处罚”等清单制度，拓展“城优十条”营商助力服务包的应用场景与受益范围。建立健全涉企行政处罚裁量基准的动态调整机制，确保过罚相当。全面规范涉企行政检查行为，大力推行“综合查一次”，最大限度减少对市场主体正常经营活动的干扰。广泛推广“合规小贴士”“行政建议书”等柔性指导工具，帮助企业特别是中小微企业预防和化解违法风险，实现法律效果与社会效果的统一。</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(六)以“智慧城管”建设，加强技术迭代，打造城市管理“驾驶舱”</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default" w:ascii="仿宋_GB2312" w:hAnsi="仿宋_GB2312" w:eastAsia="仿宋_GB2312" w:cs="仿宋_GB2312"/>
          <w:sz w:val="34"/>
          <w:szCs w:val="34"/>
          <w:lang w:val="en-US" w:eastAsia="zh-CN"/>
        </w:rPr>
      </w:pPr>
      <w:r>
        <w:rPr>
          <w:rFonts w:hint="eastAsia" w:ascii="仿宋_GB2312" w:hAnsi="仿宋_GB2312" w:eastAsia="仿宋_GB2312" w:cs="仿宋_GB2312"/>
          <w:b/>
          <w:bCs/>
          <w:sz w:val="34"/>
          <w:szCs w:val="34"/>
          <w:lang w:val="en-US" w:eastAsia="zh-CN"/>
        </w:rPr>
        <w:t>一是拓展无人机巡查应用场景。</w:t>
      </w:r>
      <w:r>
        <w:rPr>
          <w:rFonts w:hint="eastAsia" w:ascii="仿宋_GB2312" w:hAnsi="仿宋_GB2312" w:eastAsia="仿宋_GB2312" w:cs="仿宋_GB2312"/>
          <w:sz w:val="34"/>
          <w:szCs w:val="34"/>
          <w:lang w:val="en-US" w:eastAsia="zh-CN"/>
        </w:rPr>
        <w:t>建立“无人机空中巡查”模式，将其广泛应用于违建巡查取证、大型工地监控、市容环境监测、应急现场勘察等复杂场景。通过航拍建模、多期影像对比等技术，提升对高空、隐蔽区域违法行为的发现能力和取证效率，构建立体化监管网络。</w:t>
      </w:r>
      <w:r>
        <w:rPr>
          <w:rFonts w:hint="eastAsia" w:ascii="仿宋_GB2312" w:hAnsi="仿宋_GB2312" w:eastAsia="仿宋_GB2312" w:cs="仿宋_GB2312"/>
          <w:b/>
          <w:bCs/>
          <w:sz w:val="34"/>
          <w:szCs w:val="34"/>
          <w:lang w:val="en-US" w:eastAsia="zh-CN"/>
        </w:rPr>
        <w:t>二是深化非现场执法模式。</w:t>
      </w:r>
      <w:r>
        <w:rPr>
          <w:rFonts w:hint="eastAsia" w:ascii="仿宋_GB2312" w:hAnsi="仿宋_GB2312" w:eastAsia="仿宋_GB2312" w:cs="仿宋_GB2312"/>
          <w:sz w:val="34"/>
          <w:szCs w:val="34"/>
          <w:lang w:val="en-US" w:eastAsia="zh-CN"/>
        </w:rPr>
        <w:t>在沿街商铺、重点路段、建筑工地等区域，广泛部署物联网传感器、高清视频监控等智能感知设备，对跨门经营、乱倒垃圾、工程渣土运输、扬尘噪音等违法行为进行智能识别、监测和取证。建立“非现场监测、电子固证、线上处理”的执法流程，实现“对企业无感、对监管增效”的精准执法，减少执法扰民。</w:t>
      </w:r>
      <w:r>
        <w:rPr>
          <w:rFonts w:hint="eastAsia" w:ascii="仿宋_GB2312" w:hAnsi="仿宋_GB2312" w:eastAsia="仿宋_GB2312" w:cs="仿宋_GB2312"/>
          <w:b/>
          <w:bCs/>
          <w:sz w:val="34"/>
          <w:szCs w:val="34"/>
          <w:lang w:val="en-US" w:eastAsia="zh-CN"/>
        </w:rPr>
        <w:t>三是推动AI技术全面赋能执法业务。</w:t>
      </w:r>
      <w:r>
        <w:rPr>
          <w:rFonts w:hint="eastAsia" w:ascii="仿宋_GB2312" w:hAnsi="仿宋_GB2312" w:eastAsia="仿宋_GB2312" w:cs="仿宋_GB2312"/>
          <w:sz w:val="34"/>
          <w:szCs w:val="34"/>
          <w:lang w:val="en-US" w:eastAsia="zh-CN"/>
        </w:rPr>
        <w:t>深度应用人工智能技术，升级“一网统管”城管执法子系统，打造集态势感知、指挥调度、分析决策、监督考核于一体的“城市管理驾驶舱”。开发AI算法模型，对海量执法数据进行智能分析，实现对城市管理问题的趋势预测、风险预警和效能评估，为科学决策、精准部署执法力量提供强大数据支撑，推动城市治理由经验判断型向数据分析型转变。</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黑体" w:hAnsi="黑体" w:eastAsia="黑体" w:cs="黑体"/>
          <w:sz w:val="34"/>
          <w:szCs w:val="34"/>
          <w:lang w:val="en-US" w:eastAsia="zh-CN"/>
        </w:rPr>
      </w:pPr>
      <w:r>
        <w:rPr>
          <w:rFonts w:hint="eastAsia" w:ascii="黑体" w:hAnsi="黑体" w:eastAsia="黑体" w:cs="黑体"/>
          <w:sz w:val="34"/>
          <w:szCs w:val="34"/>
          <w:lang w:val="en-US" w:eastAsia="zh-CN"/>
        </w:rPr>
        <w:t>五、保障措施</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（一）强化党建引领，加强思想政治建设</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坚持和加强党对城管执法工作的全面领导，将党的建设贯穿于执法工作的全过程、各方面。巩固深化主题教育成果，教育引导全体执法人员深刻领悟“两个确立”的决定性意义，增强“四个意识”、坚定“四个自信”、做到“两个维护”。严格落实全面从严治党主体责任，持续深化党风廉政建设，加强廉洁风险防控，打造一支忠诚干净担当的城管执法铁军。推动党建与业务工作深度融合，以高质量党建引领城管执法事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（二）健全指导评议，完善监督方式方法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建立健全科学规范的区级指导监督体系。制定并实施《静安区街镇综合行政执法队履职评议办法》，围绕执法效能、办案质量、队伍作风、群众满意度等核心指标，构建常态化、精准化的考核评价机制。强化评议结果运用，将其与评优评先、资源分配等挂钩，形成激励先进、鞭策后进的鲜明导向。完善内部层级监督，通过案卷评查、执法督察、效能监察等方式，实现对街镇中队执法活动的全过程监督与指导。</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（三）优化资源配置，夯实基层基础保障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根据执法事项下沉和任务增长的实际，推动编制、经费、装备等资源向基层一线倾斜。保障执法车辆、通信设备、执法记录仪、防护装备等必要执法装备的配备与更新。落实基层执法人员待遇，完善职业风险保障和健康关怀机制，提升队伍的职业归属感和凝聚力。加强基层中队办公用房等基础设施标准化建设，为一线执法创造良好工作条件。</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（四）加强队伍建设，激发干事创业活力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eastAsia"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构建系统化、精准化的干部人才培养体系。畅通职业发展通道，注重在急难险重任务中培养和锻炼干部。建立健全容错纠错机制，鼓励执法人员勇于担当、积极作为。大力弘扬“比学赶超”精神，选树宣传先进典型，营造创先争优的浓厚氛围。持续开展岗位练兵和技能竞赛，提升队伍整体实战能力，激发内生动力和创新活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3" w:firstLineChars="200"/>
        <w:textAlignment w:val="auto"/>
        <w:rPr>
          <w:rFonts w:hint="eastAsia" w:ascii="楷体_GB2312" w:hAnsi="楷体_GB2312" w:eastAsia="楷体_GB2312" w:cs="楷体_GB2312"/>
          <w:b/>
          <w:bCs/>
          <w:sz w:val="34"/>
          <w:szCs w:val="34"/>
          <w:lang w:val="en-US" w:eastAsia="zh-CN"/>
        </w:rPr>
      </w:pPr>
      <w:r>
        <w:rPr>
          <w:rFonts w:hint="eastAsia" w:ascii="楷体_GB2312" w:hAnsi="楷体_GB2312" w:eastAsia="楷体_GB2312" w:cs="楷体_GB2312"/>
          <w:b/>
          <w:bCs/>
          <w:sz w:val="34"/>
          <w:szCs w:val="34"/>
          <w:lang w:val="en-US" w:eastAsia="zh-CN"/>
        </w:rPr>
        <w:t>（五）深化协同联动，凝聚综合执法合力</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80" w:firstLineChars="200"/>
        <w:textAlignment w:val="auto"/>
        <w:rPr>
          <w:rFonts w:hint="default" w:ascii="仿宋_GB2312" w:hAnsi="仿宋_GB2312" w:eastAsia="仿宋_GB2312" w:cs="仿宋_GB2312"/>
          <w:b w:val="0"/>
          <w:bCs w:val="0"/>
          <w:sz w:val="34"/>
          <w:szCs w:val="34"/>
          <w:lang w:val="en-US" w:eastAsia="zh-CN"/>
        </w:rPr>
      </w:pPr>
      <w:r>
        <w:rPr>
          <w:rFonts w:hint="eastAsia" w:ascii="仿宋_GB2312" w:hAnsi="仿宋_GB2312" w:eastAsia="仿宋_GB2312" w:cs="仿宋_GB2312"/>
          <w:b w:val="0"/>
          <w:bCs w:val="0"/>
          <w:sz w:val="34"/>
          <w:szCs w:val="34"/>
          <w:lang w:val="en-US" w:eastAsia="zh-CN"/>
        </w:rPr>
        <w:t>进一步完善城管执法与公安、市场监管、住建、规划资源、生态环境、应急管理等相关部门的协同联动机制。明确职责边界，固化信息共享、联合巡查、案件移送、证据互认等流程。依托城市运行“一网统管”平台，深化“多格合一”，实现管理资源和执法力量在基层网格的高效联动与整合，共同破解城市治理难题，提升综合治理效能。</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AB7206-F777-4049-B8DA-043375F78A4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roma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65BB2362-8E01-4B84-9F89-3D1B10B73160}"/>
  </w:font>
  <w:font w:name="楷体_GB2312">
    <w:panose1 w:val="02010609030101010101"/>
    <w:charset w:val="86"/>
    <w:family w:val="auto"/>
    <w:pitch w:val="default"/>
    <w:sig w:usb0="00000001" w:usb1="080E0000" w:usb2="00000000" w:usb3="00000000" w:csb0="00040000" w:csb1="00000000"/>
    <w:embedRegular r:id="rId3" w:fontKey="{044CD635-DA0A-444B-BB81-DC3C1F9160C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xml:space="preserve">— </w:t>
                          </w:r>
                          <w:r>
                            <w:rPr>
                              <w:rFonts w:hint="eastAsia" w:ascii="仿宋_GB2312" w:hAnsi="仿宋_GB2312" w:eastAsia="仿宋_GB2312" w:cs="仿宋_GB2312"/>
                              <w:sz w:val="34"/>
                              <w:szCs w:val="34"/>
                            </w:rPr>
                            <w:fldChar w:fldCharType="begin"/>
                          </w:r>
                          <w:r>
                            <w:rPr>
                              <w:rFonts w:hint="eastAsia" w:ascii="仿宋_GB2312" w:hAnsi="仿宋_GB2312" w:eastAsia="仿宋_GB2312" w:cs="仿宋_GB2312"/>
                              <w:sz w:val="34"/>
                              <w:szCs w:val="34"/>
                            </w:rPr>
                            <w:instrText xml:space="preserve"> PAGE  \* MERGEFORMAT </w:instrText>
                          </w:r>
                          <w:r>
                            <w:rPr>
                              <w:rFonts w:hint="eastAsia" w:ascii="仿宋_GB2312" w:hAnsi="仿宋_GB2312" w:eastAsia="仿宋_GB2312" w:cs="仿宋_GB2312"/>
                              <w:sz w:val="34"/>
                              <w:szCs w:val="34"/>
                            </w:rPr>
                            <w:fldChar w:fldCharType="separate"/>
                          </w:r>
                          <w:r>
                            <w:rPr>
                              <w:rFonts w:hint="eastAsia" w:ascii="仿宋_GB2312" w:hAnsi="仿宋_GB2312" w:eastAsia="仿宋_GB2312" w:cs="仿宋_GB2312"/>
                              <w:sz w:val="34"/>
                              <w:szCs w:val="34"/>
                            </w:rPr>
                            <w:t>1</w:t>
                          </w:r>
                          <w:r>
                            <w:rPr>
                              <w:rFonts w:hint="eastAsia" w:ascii="仿宋_GB2312" w:hAnsi="仿宋_GB2312" w:eastAsia="仿宋_GB2312" w:cs="仿宋_GB2312"/>
                              <w:sz w:val="34"/>
                              <w:szCs w:val="34"/>
                            </w:rPr>
                            <w:fldChar w:fldCharType="end"/>
                          </w:r>
                          <w:r>
                            <w:rPr>
                              <w:rFonts w:hint="eastAsia" w:ascii="仿宋_GB2312" w:hAnsi="仿宋_GB2312" w:eastAsia="仿宋_GB2312" w:cs="仿宋_GB2312"/>
                              <w:sz w:val="34"/>
                              <w:szCs w:val="3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xml:space="preserve">— </w:t>
                    </w:r>
                    <w:r>
                      <w:rPr>
                        <w:rFonts w:hint="eastAsia" w:ascii="仿宋_GB2312" w:hAnsi="仿宋_GB2312" w:eastAsia="仿宋_GB2312" w:cs="仿宋_GB2312"/>
                        <w:sz w:val="34"/>
                        <w:szCs w:val="34"/>
                      </w:rPr>
                      <w:fldChar w:fldCharType="begin"/>
                    </w:r>
                    <w:r>
                      <w:rPr>
                        <w:rFonts w:hint="eastAsia" w:ascii="仿宋_GB2312" w:hAnsi="仿宋_GB2312" w:eastAsia="仿宋_GB2312" w:cs="仿宋_GB2312"/>
                        <w:sz w:val="34"/>
                        <w:szCs w:val="34"/>
                      </w:rPr>
                      <w:instrText xml:space="preserve"> PAGE  \* MERGEFORMAT </w:instrText>
                    </w:r>
                    <w:r>
                      <w:rPr>
                        <w:rFonts w:hint="eastAsia" w:ascii="仿宋_GB2312" w:hAnsi="仿宋_GB2312" w:eastAsia="仿宋_GB2312" w:cs="仿宋_GB2312"/>
                        <w:sz w:val="34"/>
                        <w:szCs w:val="34"/>
                      </w:rPr>
                      <w:fldChar w:fldCharType="separate"/>
                    </w:r>
                    <w:r>
                      <w:rPr>
                        <w:rFonts w:hint="eastAsia" w:ascii="仿宋_GB2312" w:hAnsi="仿宋_GB2312" w:eastAsia="仿宋_GB2312" w:cs="仿宋_GB2312"/>
                        <w:sz w:val="34"/>
                        <w:szCs w:val="34"/>
                      </w:rPr>
                      <w:t>1</w:t>
                    </w:r>
                    <w:r>
                      <w:rPr>
                        <w:rFonts w:hint="eastAsia" w:ascii="仿宋_GB2312" w:hAnsi="仿宋_GB2312" w:eastAsia="仿宋_GB2312" w:cs="仿宋_GB2312"/>
                        <w:sz w:val="34"/>
                        <w:szCs w:val="34"/>
                      </w:rPr>
                      <w:fldChar w:fldCharType="end"/>
                    </w:r>
                    <w:r>
                      <w:rPr>
                        <w:rFonts w:hint="eastAsia" w:ascii="仿宋_GB2312" w:hAnsi="仿宋_GB2312" w:eastAsia="仿宋_GB2312" w:cs="仿宋_GB2312"/>
                        <w:sz w:val="34"/>
                        <w:szCs w:val="3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3F7BC"/>
    <w:multiLevelType w:val="singleLevel"/>
    <w:tmpl w:val="24A3F7B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768F1"/>
    <w:rsid w:val="01BD17FD"/>
    <w:rsid w:val="0A5E4BA3"/>
    <w:rsid w:val="1B410951"/>
    <w:rsid w:val="1E0D5462"/>
    <w:rsid w:val="1EBA2EF4"/>
    <w:rsid w:val="204768F1"/>
    <w:rsid w:val="2EBF00B3"/>
    <w:rsid w:val="36F80B5E"/>
    <w:rsid w:val="3A5913BB"/>
    <w:rsid w:val="3E2972F7"/>
    <w:rsid w:val="4B4538FB"/>
    <w:rsid w:val="5BAE1B0B"/>
    <w:rsid w:val="6E6F2D09"/>
    <w:rsid w:val="6F3F5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3"/>
      <w:szCs w:val="33"/>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34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2025-10-23T02:55:00Z</dcterms:created>
  <dc:creator>鬏鬏鬏</dc:creator>
  <cp:lastModifiedBy>Administrator</cp:lastModifiedBy>
  <cp:lastPrinted>2025-10-27T07:53:00Z</cp:lastPrinted>
  <dcterms:modified xsi:type="dcterms:W3CDTF">2025-11-07T00:57:05Z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08F9938D6FA046D1BADDC0CB1A81EDF8_11</vt:lpwstr>
  </property>
  <property fmtid="{D5CDD505-2E9C-101B-9397-08002B2CF9AE}" pid="4" name="KSOTemplateDocerSaveRecord">
    <vt:lpwstr>eyJoZGlkIjoiNTgxYjI2YWY5MzIxMTIwMmVjMTk1ZDI4ODFkNDZlZmYiLCJ1c2VySWQiOiI1MDM4NzM5NDQifQ==</vt:lpwstr>
  </property>
</Properties>
</file>