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C8" w:rsidRDefault="008639C8" w:rsidP="008639C8">
      <w:pPr>
        <w:overflowPunct w:val="0"/>
        <w:autoSpaceDE w:val="0"/>
        <w:autoSpaceDN w:val="0"/>
        <w:spacing w:line="560" w:lineRule="exact"/>
        <w:jc w:val="right"/>
        <w:rPr>
          <w:rFonts w:ascii="宋体" w:eastAsia="宋体" w:hAnsi="宋体"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JC1300000-20</w:t>
      </w:r>
      <w:r w:rsidR="00921D90"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-</w:t>
      </w:r>
      <w:r w:rsidRPr="009A7927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16</w:t>
      </w:r>
    </w:p>
    <w:p w:rsidR="008639C8" w:rsidRDefault="008639C8" w:rsidP="00D773C0">
      <w:pPr>
        <w:overflowPunct w:val="0"/>
        <w:autoSpaceDE w:val="0"/>
        <w:autoSpaceDN w:val="0"/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D773C0" w:rsidRDefault="00A12A66" w:rsidP="00D773C0">
      <w:pPr>
        <w:overflowPunct w:val="0"/>
        <w:autoSpaceDE w:val="0"/>
        <w:autoSpaceDN w:val="0"/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 w:rsidRPr="000E632E">
        <w:rPr>
          <w:rFonts w:ascii="宋体" w:eastAsia="宋体" w:hAnsi="宋体" w:hint="eastAsia"/>
          <w:sz w:val="44"/>
          <w:szCs w:val="44"/>
        </w:rPr>
        <w:t>静安区2017-2018年度品牌建设专项资金</w:t>
      </w:r>
    </w:p>
    <w:p w:rsidR="00A12A66" w:rsidRPr="00F40505" w:rsidRDefault="00881AC6" w:rsidP="00F40505">
      <w:pPr>
        <w:overflowPunct w:val="0"/>
        <w:autoSpaceDE w:val="0"/>
        <w:autoSpaceDN w:val="0"/>
        <w:spacing w:line="560" w:lineRule="exact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的</w:t>
      </w:r>
      <w:r w:rsidR="00A12A66" w:rsidRPr="000E632E">
        <w:rPr>
          <w:rFonts w:ascii="宋体" w:eastAsia="宋体" w:hAnsi="宋体" w:hint="eastAsia"/>
          <w:sz w:val="44"/>
          <w:szCs w:val="44"/>
        </w:rPr>
        <w:t>审计调查结果</w:t>
      </w:r>
    </w:p>
    <w:p w:rsidR="000E632E" w:rsidRPr="00D015D9" w:rsidRDefault="000E632E" w:rsidP="00A12A66">
      <w:pPr>
        <w:overflowPunct w:val="0"/>
        <w:autoSpaceDE w:val="0"/>
        <w:autoSpaceDN w:val="0"/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/>
        </w:rPr>
      </w:pPr>
      <w:r w:rsidRPr="006F45F0">
        <w:rPr>
          <w:rFonts w:ascii="仿宋_GB2312" w:hint="eastAsia"/>
        </w:rPr>
        <w:t>根据《中华人民共和国审计法》的规定，20</w:t>
      </w:r>
      <w:r w:rsidR="000E632E">
        <w:rPr>
          <w:rFonts w:ascii="仿宋_GB2312" w:hint="eastAsia"/>
        </w:rPr>
        <w:t>19</w:t>
      </w:r>
      <w:r w:rsidRPr="006F45F0">
        <w:rPr>
          <w:rFonts w:ascii="仿宋_GB2312" w:hint="eastAsia"/>
        </w:rPr>
        <w:t>年</w:t>
      </w:r>
      <w:r w:rsidR="000E632E">
        <w:rPr>
          <w:rFonts w:ascii="仿宋_GB2312" w:hint="eastAsia"/>
        </w:rPr>
        <w:t>2</w:t>
      </w:r>
      <w:r w:rsidRPr="006F45F0">
        <w:rPr>
          <w:rFonts w:ascii="仿宋_GB2312" w:hint="eastAsia"/>
        </w:rPr>
        <w:t>月至</w:t>
      </w:r>
      <w:r w:rsidR="006547FF">
        <w:rPr>
          <w:rFonts w:ascii="仿宋_GB2312" w:hint="eastAsia"/>
        </w:rPr>
        <w:t>2019年</w:t>
      </w:r>
      <w:r w:rsidR="000E632E">
        <w:rPr>
          <w:rFonts w:ascii="仿宋_GB2312" w:hint="eastAsia"/>
        </w:rPr>
        <w:t>4</w:t>
      </w:r>
      <w:r w:rsidRPr="006F45F0">
        <w:rPr>
          <w:rFonts w:ascii="仿宋_GB2312" w:hint="eastAsia"/>
        </w:rPr>
        <w:t>月，区审计局对本区</w:t>
      </w:r>
      <w:r w:rsidR="00331E7B">
        <w:rPr>
          <w:rFonts w:ascii="仿宋_GB2312" w:hint="eastAsia"/>
        </w:rPr>
        <w:t>2017-2018年度品牌建设专项资金进行专项审计调查</w:t>
      </w:r>
      <w:r w:rsidRPr="006F45F0">
        <w:rPr>
          <w:rFonts w:ascii="仿宋_GB2312" w:hint="eastAsia"/>
        </w:rPr>
        <w:t>。共调查</w:t>
      </w:r>
      <w:r w:rsidR="00331E7B">
        <w:rPr>
          <w:rFonts w:ascii="仿宋_GB2312" w:hint="eastAsia"/>
        </w:rPr>
        <w:t>上海市静安区商务委员会（以下简称区商务委）</w:t>
      </w:r>
      <w:r w:rsidR="00D773C0">
        <w:rPr>
          <w:rFonts w:ascii="仿宋_GB2312" w:hint="eastAsia"/>
        </w:rPr>
        <w:t>和</w:t>
      </w:r>
      <w:r w:rsidR="00331E7B">
        <w:rPr>
          <w:rFonts w:ascii="仿宋_GB2312" w:hint="eastAsia"/>
        </w:rPr>
        <w:t>上海市静安区市场监督管理局（以下简称区市场监管局）2</w:t>
      </w:r>
      <w:r w:rsidRPr="006F45F0">
        <w:rPr>
          <w:rFonts w:ascii="仿宋_GB2312" w:hint="eastAsia"/>
        </w:rPr>
        <w:t>个部门，延伸</w:t>
      </w:r>
      <w:r w:rsidR="00331E7B" w:rsidRPr="00331E7B">
        <w:rPr>
          <w:rFonts w:ascii="仿宋_GB2312" w:hint="eastAsia"/>
        </w:rPr>
        <w:t>审计调查了上海雷允</w:t>
      </w:r>
      <w:proofErr w:type="gramStart"/>
      <w:r w:rsidR="00331E7B" w:rsidRPr="00331E7B">
        <w:rPr>
          <w:rFonts w:ascii="仿宋_GB2312" w:hint="eastAsia"/>
        </w:rPr>
        <w:t>上药业</w:t>
      </w:r>
      <w:proofErr w:type="gramEnd"/>
      <w:r w:rsidR="00331E7B" w:rsidRPr="00331E7B">
        <w:rPr>
          <w:rFonts w:ascii="仿宋_GB2312" w:hint="eastAsia"/>
        </w:rPr>
        <w:t>西区有限公司、上海开开实业股份有限公司、上海中信信息发展股份有限公司等26</w:t>
      </w:r>
      <w:r w:rsidR="00331E7B">
        <w:rPr>
          <w:rFonts w:ascii="仿宋_GB2312" w:hint="eastAsia"/>
        </w:rPr>
        <w:t>家企业的相关事项</w:t>
      </w:r>
      <w:r w:rsidRPr="006F45F0">
        <w:rPr>
          <w:rFonts w:ascii="仿宋_GB2312" w:hint="eastAsia"/>
        </w:rPr>
        <w:t>。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/>
        </w:rPr>
      </w:pPr>
      <w:r w:rsidRPr="006F45F0">
        <w:rPr>
          <w:rFonts w:ascii="黑体" w:eastAsia="黑体" w:hint="eastAsia"/>
        </w:rPr>
        <w:t>一、基本情况和审计评价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6F45F0">
        <w:rPr>
          <w:rFonts w:ascii="仿宋_GB2312" w:hint="eastAsia"/>
        </w:rPr>
        <w:t>为了</w:t>
      </w:r>
      <w:r w:rsidR="00331E7B" w:rsidRPr="00331E7B">
        <w:rPr>
          <w:rFonts w:ascii="仿宋_GB2312" w:hint="eastAsia"/>
        </w:rPr>
        <w:t>贯彻落实国家、上海市促进品牌建设的有关法律、法规、政策</w:t>
      </w:r>
      <w:r w:rsidRPr="006F45F0">
        <w:rPr>
          <w:rFonts w:ascii="仿宋_GB2312" w:hint="eastAsia"/>
        </w:rPr>
        <w:t>，</w:t>
      </w:r>
      <w:r w:rsidR="002E3AA3">
        <w:rPr>
          <w:rFonts w:ascii="仿宋" w:eastAsia="仿宋" w:hAnsi="仿宋" w:hint="eastAsia"/>
        </w:rPr>
        <w:t>根据区商务委、区市场监管局提供的资料反映，2017-2018年度品牌建设专项资金预算安排6902万元</w:t>
      </w:r>
      <w:r w:rsidRPr="006F45F0">
        <w:rPr>
          <w:rFonts w:ascii="仿宋_GB2312" w:hint="eastAsia"/>
        </w:rPr>
        <w:t>，用于</w:t>
      </w:r>
      <w:r w:rsidR="00331E7B">
        <w:rPr>
          <w:rFonts w:ascii="仿宋" w:eastAsia="仿宋" w:hAnsi="仿宋" w:hint="eastAsia"/>
        </w:rPr>
        <w:t>支持本区品牌发展与建设、改善品牌企业发展环境、推动区域品牌经济发展</w:t>
      </w:r>
      <w:r w:rsidRPr="006F45F0">
        <w:rPr>
          <w:rFonts w:ascii="仿宋_GB2312" w:hint="eastAsia"/>
        </w:rPr>
        <w:t>；</w:t>
      </w:r>
      <w:r w:rsidR="00331E7B">
        <w:rPr>
          <w:rFonts w:ascii="仿宋" w:eastAsia="仿宋" w:hAnsi="仿宋" w:hint="eastAsia"/>
        </w:rPr>
        <w:t>预算执行6507.25万元</w:t>
      </w:r>
      <w:r w:rsidRPr="006F45F0">
        <w:rPr>
          <w:rFonts w:ascii="仿宋_GB2312" w:hint="eastAsia"/>
        </w:rPr>
        <w:t>，已完成</w:t>
      </w:r>
      <w:r w:rsidR="002E3AA3">
        <w:rPr>
          <w:rFonts w:ascii="仿宋_GB2312" w:hint="eastAsia"/>
        </w:rPr>
        <w:t>补贴、区级配套补助类项目93个、奖励157项</w:t>
      </w:r>
      <w:r w:rsidRPr="006F45F0">
        <w:rPr>
          <w:rFonts w:ascii="仿宋_GB2312" w:hint="eastAsia"/>
        </w:rPr>
        <w:t>。</w:t>
      </w:r>
      <w:r w:rsidR="002E3AA3" w:rsidRPr="002E3AA3">
        <w:rPr>
          <w:rFonts w:ascii="仿宋_GB2312" w:hint="eastAsia"/>
        </w:rPr>
        <w:t>2017-2018年品牌建设专项资金涉及企业合计155家，本次延伸审计调查了26家，涉及56项补贴、2项区级配套补助、23项奖励（其中20家申请2个项目类别及以上，11家申请的项目类别涉及区</w:t>
      </w:r>
      <w:proofErr w:type="gramStart"/>
      <w:r w:rsidR="002E3AA3" w:rsidRPr="002E3AA3">
        <w:rPr>
          <w:rFonts w:ascii="仿宋_GB2312" w:hint="eastAsia"/>
        </w:rPr>
        <w:t>商务委</w:t>
      </w:r>
      <w:proofErr w:type="gramEnd"/>
      <w:r w:rsidR="002E3AA3" w:rsidRPr="002E3AA3">
        <w:rPr>
          <w:rFonts w:ascii="仿宋_GB2312" w:hint="eastAsia"/>
        </w:rPr>
        <w:t>和区市场监管局两个部门），资金合计3400.19万元，占总</w:t>
      </w:r>
      <w:r w:rsidR="002E3AA3" w:rsidRPr="002E3AA3">
        <w:rPr>
          <w:rFonts w:ascii="仿宋_GB2312" w:hint="eastAsia"/>
        </w:rPr>
        <w:lastRenderedPageBreak/>
        <w:t>项目资金52.25%。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6F45F0">
        <w:rPr>
          <w:rFonts w:ascii="仿宋_GB2312" w:hint="eastAsia"/>
        </w:rPr>
        <w:t>审计调查结果表明，</w:t>
      </w:r>
      <w:r w:rsidR="00766183" w:rsidRPr="00766183">
        <w:rPr>
          <w:rFonts w:ascii="仿宋_GB2312" w:hint="eastAsia"/>
        </w:rPr>
        <w:t>区</w:t>
      </w:r>
      <w:proofErr w:type="gramStart"/>
      <w:r w:rsidR="00766183" w:rsidRPr="00766183">
        <w:rPr>
          <w:rFonts w:ascii="仿宋_GB2312" w:hint="eastAsia"/>
        </w:rPr>
        <w:t>商务委</w:t>
      </w:r>
      <w:proofErr w:type="gramEnd"/>
      <w:r w:rsidR="00766183" w:rsidRPr="00766183">
        <w:rPr>
          <w:rFonts w:ascii="仿宋_GB2312" w:hint="eastAsia"/>
        </w:rPr>
        <w:t>在品牌建设专项资金管理工作中基本遵循相关政策规定，补贴、区级配套补助类资金对于改善本区品牌企业发展环境、推动品牌经济发展起到了一定的促进作用。如陕西北路老字号街改造项目，改造后老字号和知名品牌从11家增加到17家，汇聚了中国四大药</w:t>
      </w:r>
      <w:proofErr w:type="gramStart"/>
      <w:r w:rsidR="00766183" w:rsidRPr="00766183">
        <w:rPr>
          <w:rFonts w:ascii="仿宋_GB2312" w:hint="eastAsia"/>
        </w:rPr>
        <w:t>堂之一</w:t>
      </w:r>
      <w:proofErr w:type="gramEnd"/>
      <w:r w:rsidR="00766183" w:rsidRPr="00766183">
        <w:rPr>
          <w:rFonts w:ascii="仿宋_GB2312" w:hint="eastAsia"/>
        </w:rPr>
        <w:t>的雷允上、国家级非物质文化遗产项目龙凤旗袍、</w:t>
      </w:r>
      <w:proofErr w:type="gramStart"/>
      <w:r w:rsidR="00766183" w:rsidRPr="00766183">
        <w:rPr>
          <w:rFonts w:ascii="仿宋_GB2312" w:hint="eastAsia"/>
        </w:rPr>
        <w:t>亨生西服</w:t>
      </w:r>
      <w:proofErr w:type="gramEnd"/>
      <w:r w:rsidR="00766183" w:rsidRPr="00766183">
        <w:rPr>
          <w:rFonts w:ascii="仿宋_GB2312" w:hint="eastAsia"/>
        </w:rPr>
        <w:t>等知名品牌。</w:t>
      </w:r>
      <w:r w:rsidR="00766183">
        <w:rPr>
          <w:rFonts w:ascii="仿宋" w:eastAsia="仿宋" w:hAnsi="仿宋" w:hint="eastAsia"/>
        </w:rPr>
        <w:t>区市场监管</w:t>
      </w:r>
      <w:proofErr w:type="gramStart"/>
      <w:r w:rsidR="00766183">
        <w:rPr>
          <w:rFonts w:ascii="仿宋" w:eastAsia="仿宋" w:hAnsi="仿宋" w:hint="eastAsia"/>
        </w:rPr>
        <w:t>局基本</w:t>
      </w:r>
      <w:proofErr w:type="gramEnd"/>
      <w:r w:rsidR="00766183">
        <w:rPr>
          <w:rFonts w:ascii="仿宋" w:eastAsia="仿宋" w:hAnsi="仿宋" w:hint="eastAsia"/>
        </w:rPr>
        <w:t>遵照相关政策审核、发放奖励。</w:t>
      </w:r>
      <w:r w:rsidRPr="006F45F0">
        <w:rPr>
          <w:rFonts w:ascii="仿宋_GB2312" w:hint="eastAsia"/>
        </w:rPr>
        <w:t>但也发现一些需要加以改进的问题</w:t>
      </w:r>
      <w:r w:rsidR="004B57ED">
        <w:rPr>
          <w:rFonts w:ascii="仿宋_GB2312" w:hint="eastAsia"/>
        </w:rPr>
        <w:t>。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/>
        </w:rPr>
      </w:pPr>
      <w:r w:rsidRPr="006F45F0">
        <w:rPr>
          <w:rFonts w:ascii="黑体" w:eastAsia="黑体" w:hint="eastAsia"/>
        </w:rPr>
        <w:t>二、审计调查发现的主要问题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（一）补贴、区级配套补助类资金发现的主要问题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1.区</w:t>
      </w:r>
      <w:proofErr w:type="gramStart"/>
      <w:r w:rsidRPr="00766183">
        <w:rPr>
          <w:rFonts w:ascii="仿宋_GB2312" w:hint="eastAsia"/>
        </w:rPr>
        <w:t>商务委</w:t>
      </w:r>
      <w:proofErr w:type="gramEnd"/>
      <w:r w:rsidRPr="00766183">
        <w:rPr>
          <w:rFonts w:ascii="仿宋_GB2312" w:hint="eastAsia"/>
        </w:rPr>
        <w:t xml:space="preserve">对专项资金宣传面有待进一步加大 </w:t>
      </w:r>
    </w:p>
    <w:p w:rsidR="00A12A66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审计调查发现，2017-2018年区</w:t>
      </w:r>
      <w:proofErr w:type="gramStart"/>
      <w:r w:rsidRPr="00766183">
        <w:rPr>
          <w:rFonts w:ascii="仿宋_GB2312" w:hint="eastAsia"/>
        </w:rPr>
        <w:t>商务委</w:t>
      </w:r>
      <w:proofErr w:type="gramEnd"/>
      <w:r w:rsidRPr="00766183">
        <w:rPr>
          <w:rFonts w:ascii="仿宋_GB2312" w:hint="eastAsia"/>
        </w:rPr>
        <w:t>通过工作</w:t>
      </w:r>
      <w:proofErr w:type="gramStart"/>
      <w:r w:rsidRPr="00766183">
        <w:rPr>
          <w:rFonts w:ascii="仿宋_GB2312" w:hint="eastAsia"/>
        </w:rPr>
        <w:t>微信群</w:t>
      </w:r>
      <w:proofErr w:type="gramEnd"/>
      <w:r w:rsidRPr="00766183">
        <w:rPr>
          <w:rFonts w:ascii="仿宋_GB2312" w:hint="eastAsia"/>
        </w:rPr>
        <w:t>定向邀请部分本区企业参加品牌建设专项资金申报事宜培训会，如2017年度区</w:t>
      </w:r>
      <w:proofErr w:type="gramStart"/>
      <w:r w:rsidRPr="00766183">
        <w:rPr>
          <w:rFonts w:ascii="仿宋_GB2312" w:hint="eastAsia"/>
        </w:rPr>
        <w:t>商务委</w:t>
      </w:r>
      <w:proofErr w:type="gramEnd"/>
      <w:r w:rsidRPr="00766183">
        <w:rPr>
          <w:rFonts w:ascii="仿宋_GB2312" w:hint="eastAsia"/>
        </w:rPr>
        <w:t>在对外公布申报指南之前，就已邀请39家企业参加培训会。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2.区</w:t>
      </w:r>
      <w:proofErr w:type="gramStart"/>
      <w:r w:rsidRPr="00766183">
        <w:rPr>
          <w:rFonts w:ascii="仿宋_GB2312" w:hint="eastAsia"/>
        </w:rPr>
        <w:t>商务委</w:t>
      </w:r>
      <w:proofErr w:type="gramEnd"/>
      <w:r w:rsidRPr="00766183">
        <w:rPr>
          <w:rFonts w:ascii="仿宋_GB2312" w:hint="eastAsia"/>
        </w:rPr>
        <w:t>对服务外包工作的管理有待进一步加强</w:t>
      </w:r>
    </w:p>
    <w:p w:rsid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2018年区</w:t>
      </w:r>
      <w:proofErr w:type="gramStart"/>
      <w:r w:rsidRPr="00766183">
        <w:rPr>
          <w:rFonts w:ascii="仿宋_GB2312" w:hint="eastAsia"/>
        </w:rPr>
        <w:t>商务委</w:t>
      </w:r>
      <w:proofErr w:type="gramEnd"/>
      <w:r w:rsidRPr="00766183">
        <w:rPr>
          <w:rFonts w:ascii="仿宋_GB2312" w:hint="eastAsia"/>
        </w:rPr>
        <w:t>与轻工所</w:t>
      </w:r>
      <w:proofErr w:type="gramStart"/>
      <w:r w:rsidRPr="00766183">
        <w:rPr>
          <w:rFonts w:ascii="仿宋_GB2312" w:hint="eastAsia"/>
        </w:rPr>
        <w:t>签定</w:t>
      </w:r>
      <w:proofErr w:type="gramEnd"/>
      <w:r w:rsidRPr="00766183">
        <w:rPr>
          <w:rFonts w:ascii="仿宋_GB2312" w:hint="eastAsia"/>
        </w:rPr>
        <w:t>《2018年度静安区品牌建设专项资金项目评审及管理委托服务协议书》，规定轻工所所需承担3大类、17项工作职责。审计调查发现，轻工所未完成“组织专业机构对扶持项目专项资金使用情况进行抽查”工作职责，未见相关工作记录。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lastRenderedPageBreak/>
        <w:t>3.个别申报企业不符合补贴条件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审计调查发现，轻工所对平台类、非平台类项目申报材料中关于企业信用状况的审核不严谨。</w:t>
      </w:r>
    </w:p>
    <w:p w:rsidR="00766183" w:rsidRDefault="00766183" w:rsidP="00440763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审计调查了取得2017年申报平台类和非平台类资金的25家企业近三年的信用状况发现，4家企业存在行政处罚的情形</w:t>
      </w:r>
      <w:r w:rsidR="005C4BDA">
        <w:rPr>
          <w:rFonts w:ascii="仿宋_GB2312" w:hint="eastAsia"/>
        </w:rPr>
        <w:t>；</w:t>
      </w:r>
      <w:r w:rsidRPr="00766183">
        <w:rPr>
          <w:rFonts w:ascii="仿宋_GB2312" w:hint="eastAsia"/>
        </w:rPr>
        <w:t>2018年申报平台类和非平台类资金的28家</w:t>
      </w:r>
      <w:r w:rsidR="005C4BDA">
        <w:rPr>
          <w:rFonts w:ascii="仿宋_GB2312" w:hint="eastAsia"/>
        </w:rPr>
        <w:t>企业中</w:t>
      </w:r>
      <w:r w:rsidRPr="00766183">
        <w:rPr>
          <w:rFonts w:ascii="仿宋_GB2312" w:hint="eastAsia"/>
        </w:rPr>
        <w:t>有8家企业存在行政处罚的情形。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4.部分企业未对补贴类专项资金单独设账核算</w:t>
      </w:r>
    </w:p>
    <w:p w:rsidR="00766183" w:rsidRPr="006F45F0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延伸审计调查的26家企业中有24家企业获得补贴类专项资金，其中16家企业在“营业外收入”、“其他应付款”、“销售费用”、“管理费用”等科目反映补贴资金的收支情况，与其他资金一并核算，未单独设账归集补贴资金的使用情况。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（二）奖励类资金发现的主要问题</w:t>
      </w:r>
    </w:p>
    <w:p w:rsidR="00A12A66" w:rsidRPr="00D015D9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  <w:highlight w:val="yellow"/>
        </w:rPr>
      </w:pPr>
      <w:r w:rsidRPr="005C4BDA">
        <w:rPr>
          <w:rFonts w:ascii="仿宋_GB2312" w:hint="eastAsia"/>
        </w:rPr>
        <w:t>1.区市场监管局对企业申报材料的审核把控不严</w:t>
      </w:r>
    </w:p>
    <w:p w:rsidR="00A12A66" w:rsidRDefault="00766183" w:rsidP="005C4BDA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5C4BDA">
        <w:rPr>
          <w:rFonts w:ascii="仿宋_GB2312" w:hint="eastAsia"/>
        </w:rPr>
        <w:t>审计调查发现，区市场监管局在上海名牌预审环节中存在对申报企业财务状况</w:t>
      </w:r>
      <w:r w:rsidR="005C4BDA">
        <w:rPr>
          <w:rFonts w:ascii="仿宋_GB2312" w:hint="eastAsia"/>
        </w:rPr>
        <w:t>等</w:t>
      </w:r>
      <w:r w:rsidRPr="005C4BDA">
        <w:rPr>
          <w:rFonts w:ascii="仿宋_GB2312" w:hint="eastAsia"/>
        </w:rPr>
        <w:t>方面问题把控不严的情形。</w:t>
      </w:r>
    </w:p>
    <w:p w:rsidR="00766183" w:rsidRPr="00766183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t>2.个别企业不符合奖励条件</w:t>
      </w:r>
    </w:p>
    <w:p w:rsidR="00766183" w:rsidRPr="00766183" w:rsidRDefault="005C4BDA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>
        <w:rPr>
          <w:rFonts w:ascii="仿宋_GB2312" w:hint="eastAsia"/>
        </w:rPr>
        <w:t>审计调查发现，</w:t>
      </w:r>
      <w:r w:rsidR="00F40505">
        <w:rPr>
          <w:rFonts w:ascii="仿宋_GB2312" w:hint="eastAsia"/>
        </w:rPr>
        <w:t>个别</w:t>
      </w:r>
      <w:r>
        <w:rPr>
          <w:rFonts w:ascii="仿宋_GB2312" w:hint="eastAsia"/>
        </w:rPr>
        <w:t>单位</w:t>
      </w:r>
      <w:r w:rsidR="00766183" w:rsidRPr="00766183">
        <w:rPr>
          <w:rFonts w:ascii="仿宋_GB2312" w:hint="eastAsia"/>
        </w:rPr>
        <w:t>以市标准化优秀技术成果二等奖、</w:t>
      </w:r>
      <w:proofErr w:type="gramStart"/>
      <w:r w:rsidR="00766183" w:rsidRPr="00766183">
        <w:rPr>
          <w:rFonts w:ascii="仿宋_GB2312" w:hint="eastAsia"/>
        </w:rPr>
        <w:t>行标制</w:t>
      </w:r>
      <w:proofErr w:type="gramEnd"/>
      <w:r w:rsidR="00766183" w:rsidRPr="00766183">
        <w:rPr>
          <w:rFonts w:ascii="仿宋_GB2312" w:hint="eastAsia"/>
        </w:rPr>
        <w:t>修订、上海名牌等3项成果，分别获得2017年标准化工作奖励9万元、2018年品牌（质量）奖励20万元，但工商登记在杨浦区。</w:t>
      </w:r>
    </w:p>
    <w:p w:rsidR="00766183" w:rsidRPr="006F45F0" w:rsidRDefault="00766183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="622"/>
        <w:rPr>
          <w:rFonts w:ascii="仿宋_GB2312"/>
        </w:rPr>
      </w:pPr>
      <w:r w:rsidRPr="00766183">
        <w:rPr>
          <w:rFonts w:ascii="仿宋_GB2312" w:hint="eastAsia"/>
        </w:rPr>
        <w:lastRenderedPageBreak/>
        <w:t>审计调查发现，</w:t>
      </w:r>
      <w:r w:rsidR="00F40505">
        <w:rPr>
          <w:rFonts w:ascii="仿宋_GB2312" w:hint="eastAsia"/>
        </w:rPr>
        <w:t>个别</w:t>
      </w:r>
      <w:r w:rsidRPr="00766183">
        <w:rPr>
          <w:rFonts w:ascii="仿宋_GB2312" w:hint="eastAsia"/>
        </w:rPr>
        <w:t>协会申报的项目获得2017年度标准化工作奖励10万元，但工商登记在普陀区、税务登记在黄浦区。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/>
        </w:rPr>
      </w:pPr>
      <w:r w:rsidRPr="006F45F0">
        <w:rPr>
          <w:rFonts w:ascii="黑体" w:eastAsia="黑体" w:hint="eastAsia"/>
        </w:rPr>
        <w:t>三、审计调查建议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/>
        </w:rPr>
      </w:pPr>
      <w:r w:rsidRPr="006F45F0">
        <w:rPr>
          <w:rFonts w:ascii="仿宋_GB2312" w:hint="eastAsia"/>
        </w:rPr>
        <w:t>(</w:t>
      </w:r>
      <w:proofErr w:type="gramStart"/>
      <w:r w:rsidRPr="006F45F0">
        <w:rPr>
          <w:rFonts w:ascii="仿宋_GB2312" w:hint="eastAsia"/>
        </w:rPr>
        <w:t>一</w:t>
      </w:r>
      <w:proofErr w:type="gramEnd"/>
      <w:r w:rsidRPr="006F45F0">
        <w:rPr>
          <w:rFonts w:ascii="仿宋_GB2312" w:hint="eastAsia"/>
        </w:rPr>
        <w:t>)</w:t>
      </w:r>
      <w:r w:rsidR="00766183" w:rsidRPr="00766183">
        <w:rPr>
          <w:rFonts w:hint="eastAsia"/>
        </w:rPr>
        <w:t xml:space="preserve"> </w:t>
      </w:r>
      <w:r w:rsidR="00766183" w:rsidRPr="00766183">
        <w:rPr>
          <w:rFonts w:ascii="仿宋_GB2312" w:hint="eastAsia"/>
        </w:rPr>
        <w:t>区</w:t>
      </w:r>
      <w:proofErr w:type="gramStart"/>
      <w:r w:rsidR="00766183" w:rsidRPr="00766183">
        <w:rPr>
          <w:rFonts w:ascii="仿宋_GB2312" w:hint="eastAsia"/>
        </w:rPr>
        <w:t>商务委</w:t>
      </w:r>
      <w:proofErr w:type="gramEnd"/>
      <w:r w:rsidR="00766183" w:rsidRPr="00766183">
        <w:rPr>
          <w:rFonts w:ascii="仿宋_GB2312" w:hint="eastAsia"/>
        </w:rPr>
        <w:t>应进一步完善品牌建设专项资金管理办法和实施细则，加强补贴、补助类资金全过程监管，进一步发挥品牌建设专项资金在改善品牌企业发展环境、推动区域品牌经济发展方面的作用。</w:t>
      </w:r>
    </w:p>
    <w:p w:rsidR="00A12A66" w:rsidRPr="006F45F0" w:rsidRDefault="00A12A66" w:rsidP="00E662F4">
      <w:pPr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/>
        </w:rPr>
      </w:pPr>
      <w:r w:rsidRPr="006F45F0">
        <w:rPr>
          <w:rFonts w:ascii="仿宋_GB2312" w:hint="eastAsia"/>
        </w:rPr>
        <w:t>(二)</w:t>
      </w:r>
      <w:r w:rsidR="00766183" w:rsidRPr="00766183">
        <w:rPr>
          <w:rFonts w:hint="eastAsia"/>
        </w:rPr>
        <w:t xml:space="preserve"> </w:t>
      </w:r>
      <w:r w:rsidR="00766183" w:rsidRPr="00766183">
        <w:rPr>
          <w:rFonts w:ascii="仿宋_GB2312" w:hint="eastAsia"/>
        </w:rPr>
        <w:t>区市场监管局应进一步加强奖励类资金前置条件的审核，确保资金合</w:t>
      </w:r>
      <w:proofErr w:type="gramStart"/>
      <w:r w:rsidR="00766183" w:rsidRPr="00766183">
        <w:rPr>
          <w:rFonts w:ascii="仿宋_GB2312" w:hint="eastAsia"/>
        </w:rPr>
        <w:t>规</w:t>
      </w:r>
      <w:proofErr w:type="gramEnd"/>
      <w:r w:rsidR="00766183" w:rsidRPr="00766183">
        <w:rPr>
          <w:rFonts w:ascii="仿宋_GB2312" w:hint="eastAsia"/>
        </w:rPr>
        <w:t>发放，健全品牌建设专项资金的激励机制，发挥品牌建设专项资金的杠杆作用。</w:t>
      </w:r>
    </w:p>
    <w:p w:rsidR="004375B8" w:rsidRDefault="004375B8" w:rsidP="00E662F4">
      <w:pPr>
        <w:adjustRightInd w:val="0"/>
        <w:snapToGrid w:val="0"/>
        <w:spacing w:line="360" w:lineRule="auto"/>
      </w:pPr>
    </w:p>
    <w:sectPr w:rsidR="004375B8" w:rsidSect="00A238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C9" w:rsidRDefault="00784EC9" w:rsidP="00B22D7A">
      <w:r>
        <w:separator/>
      </w:r>
    </w:p>
  </w:endnote>
  <w:endnote w:type="continuationSeparator" w:id="0">
    <w:p w:rsidR="00784EC9" w:rsidRDefault="00784EC9" w:rsidP="00B22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4789033"/>
      <w:docPartObj>
        <w:docPartGallery w:val="Page Numbers (Bottom of Page)"/>
        <w:docPartUnique/>
      </w:docPartObj>
    </w:sdtPr>
    <w:sdtContent>
      <w:p w:rsidR="00B22D7A" w:rsidRDefault="005D2D37">
        <w:pPr>
          <w:pStyle w:val="a4"/>
          <w:jc w:val="center"/>
        </w:pPr>
        <w:r>
          <w:fldChar w:fldCharType="begin"/>
        </w:r>
        <w:r w:rsidR="00B22D7A">
          <w:instrText>PAGE   \* MERGEFORMAT</w:instrText>
        </w:r>
        <w:r>
          <w:fldChar w:fldCharType="separate"/>
        </w:r>
        <w:r w:rsidR="00921D90" w:rsidRPr="00921D90">
          <w:rPr>
            <w:noProof/>
            <w:lang w:val="zh-CN"/>
          </w:rPr>
          <w:t>1</w:t>
        </w:r>
        <w:r>
          <w:fldChar w:fldCharType="end"/>
        </w:r>
      </w:p>
    </w:sdtContent>
  </w:sdt>
  <w:p w:rsidR="00B22D7A" w:rsidRDefault="00B22D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C9" w:rsidRDefault="00784EC9" w:rsidP="00B22D7A">
      <w:r>
        <w:separator/>
      </w:r>
    </w:p>
  </w:footnote>
  <w:footnote w:type="continuationSeparator" w:id="0">
    <w:p w:rsidR="00784EC9" w:rsidRDefault="00784EC9" w:rsidP="00B22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A66"/>
    <w:rsid w:val="00042296"/>
    <w:rsid w:val="000A64C8"/>
    <w:rsid w:val="000E632E"/>
    <w:rsid w:val="002E3AA3"/>
    <w:rsid w:val="00300680"/>
    <w:rsid w:val="00331E7B"/>
    <w:rsid w:val="004375B8"/>
    <w:rsid w:val="00440763"/>
    <w:rsid w:val="00471F67"/>
    <w:rsid w:val="004B57ED"/>
    <w:rsid w:val="004D2B62"/>
    <w:rsid w:val="005C4BDA"/>
    <w:rsid w:val="005D2D37"/>
    <w:rsid w:val="00620D5E"/>
    <w:rsid w:val="006547FF"/>
    <w:rsid w:val="00660035"/>
    <w:rsid w:val="00766183"/>
    <w:rsid w:val="00784EC9"/>
    <w:rsid w:val="008639C8"/>
    <w:rsid w:val="00881AC6"/>
    <w:rsid w:val="008F4DCC"/>
    <w:rsid w:val="00921D90"/>
    <w:rsid w:val="00997764"/>
    <w:rsid w:val="009D55A3"/>
    <w:rsid w:val="00A12A66"/>
    <w:rsid w:val="00A238DB"/>
    <w:rsid w:val="00A70871"/>
    <w:rsid w:val="00B22D7A"/>
    <w:rsid w:val="00B57292"/>
    <w:rsid w:val="00B6658B"/>
    <w:rsid w:val="00B8684D"/>
    <w:rsid w:val="00C60F30"/>
    <w:rsid w:val="00D015D9"/>
    <w:rsid w:val="00D773C0"/>
    <w:rsid w:val="00E662F4"/>
    <w:rsid w:val="00F4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6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D7A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D7A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62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62F4"/>
    <w:rPr>
      <w:rFonts w:ascii="Times New Roman" w:eastAsia="仿宋_GB2312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6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D7A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D7A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62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62F4"/>
    <w:rPr>
      <w:rFonts w:ascii="Times New Roman" w:eastAsia="仿宋_GB2312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sjj-2018-05</dc:creator>
  <cp:lastModifiedBy>Administrator</cp:lastModifiedBy>
  <cp:revision>25</cp:revision>
  <cp:lastPrinted>2020-01-07T01:18:00Z</cp:lastPrinted>
  <dcterms:created xsi:type="dcterms:W3CDTF">2019-12-18T01:59:00Z</dcterms:created>
  <dcterms:modified xsi:type="dcterms:W3CDTF">2020-09-02T00:23:00Z</dcterms:modified>
</cp:coreProperties>
</file>