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7B" w:rsidRPr="00E8238A" w:rsidRDefault="007E077B" w:rsidP="00D930AF">
      <w:pPr>
        <w:spacing w:line="360" w:lineRule="auto"/>
        <w:ind w:firstLineChars="200" w:firstLine="560"/>
        <w:rPr>
          <w:rFonts w:eastAsia="方正仿宋_GBK"/>
          <w:bCs/>
          <w:sz w:val="28"/>
          <w:szCs w:val="28"/>
        </w:rPr>
      </w:pPr>
    </w:p>
    <w:p w:rsidR="007E077B" w:rsidRDefault="007E077B" w:rsidP="00D930AF">
      <w:pPr>
        <w:spacing w:line="360" w:lineRule="auto"/>
        <w:jc w:val="center"/>
        <w:rPr>
          <w:rFonts w:ascii="仿宋_GB2312" w:eastAsia="黑体" w:hAnsi="新宋体"/>
          <w:bCs/>
          <w:sz w:val="32"/>
          <w:szCs w:val="28"/>
        </w:rPr>
      </w:pPr>
      <w:r>
        <w:rPr>
          <w:rFonts w:ascii="仿宋_GB2312" w:eastAsia="黑体" w:hAnsi="新宋体" w:hint="eastAsia"/>
          <w:bCs/>
          <w:sz w:val="32"/>
          <w:szCs w:val="28"/>
        </w:rPr>
        <w:t>财政项目支出绩效评价结果信息公开</w:t>
      </w:r>
    </w:p>
    <w:p w:rsidR="007E077B" w:rsidRPr="003A7312" w:rsidRDefault="007E077B" w:rsidP="00D930AF">
      <w:pPr>
        <w:spacing w:line="360" w:lineRule="auto"/>
        <w:jc w:val="center"/>
        <w:rPr>
          <w:rFonts w:ascii="仿宋_GB2312" w:eastAsia="黑体" w:hAnsi="新宋体"/>
          <w:bCs/>
          <w:sz w:val="32"/>
          <w:szCs w:val="28"/>
        </w:rPr>
      </w:pPr>
    </w:p>
    <w:p w:rsidR="007E077B" w:rsidRDefault="007E077B" w:rsidP="00D930AF">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w:t>
      </w:r>
      <w:r w:rsidRPr="00B24CB2">
        <w:rPr>
          <w:rFonts w:ascii="楷体_GB2312" w:eastAsia="楷体_GB2312" w:hAnsi="新宋体" w:hint="eastAsia"/>
          <w:bCs/>
          <w:sz w:val="30"/>
          <w:szCs w:val="30"/>
        </w:rPr>
        <w:t xml:space="preserve">时间： </w:t>
      </w:r>
      <w:r>
        <w:rPr>
          <w:rFonts w:ascii="楷体_GB2312" w:eastAsia="楷体_GB2312" w:hAnsi="新宋体" w:hint="eastAsia"/>
          <w:bCs/>
          <w:sz w:val="30"/>
          <w:szCs w:val="30"/>
        </w:rPr>
        <w:t>2016</w:t>
      </w:r>
      <w:r w:rsidRPr="00B24CB2">
        <w:rPr>
          <w:rFonts w:ascii="楷体_GB2312" w:eastAsia="楷体_GB2312" w:hAnsi="新宋体" w:hint="eastAsia"/>
          <w:bCs/>
          <w:sz w:val="30"/>
          <w:szCs w:val="30"/>
        </w:rPr>
        <w:t>年</w:t>
      </w:r>
      <w:r>
        <w:rPr>
          <w:rFonts w:ascii="楷体_GB2312" w:eastAsia="楷体_GB2312" w:hAnsi="新宋体" w:hint="eastAsia"/>
          <w:bCs/>
          <w:sz w:val="30"/>
          <w:szCs w:val="30"/>
        </w:rPr>
        <w:t xml:space="preserve"> 12</w:t>
      </w:r>
      <w:r w:rsidRPr="00B24CB2">
        <w:rPr>
          <w:rFonts w:ascii="楷体_GB2312" w:eastAsia="楷体_GB2312" w:hAnsi="新宋体" w:hint="eastAsia"/>
          <w:bCs/>
          <w:sz w:val="30"/>
          <w:szCs w:val="30"/>
        </w:rPr>
        <w:t>月</w:t>
      </w:r>
      <w:r>
        <w:rPr>
          <w:rFonts w:ascii="楷体_GB2312" w:eastAsia="楷体_GB2312" w:hAnsi="新宋体" w:hint="eastAsia"/>
          <w:bCs/>
          <w:sz w:val="30"/>
          <w:szCs w:val="30"/>
        </w:rPr>
        <w:t xml:space="preserve"> 16</w:t>
      </w:r>
      <w:r w:rsidRPr="00B24CB2">
        <w:rPr>
          <w:rFonts w:ascii="楷体_GB2312" w:eastAsia="楷体_GB2312" w:hAnsi="新宋体" w:hint="eastAsia"/>
          <w:bCs/>
          <w:sz w:val="30"/>
          <w:szCs w:val="30"/>
        </w:rPr>
        <w:t xml:space="preserve">日 </w:t>
      </w:r>
      <w:r>
        <w:rPr>
          <w:rFonts w:ascii="楷体_GB2312" w:eastAsia="楷体_GB2312" w:hAnsi="新宋体" w:hint="eastAsia"/>
          <w:bCs/>
          <w:sz w:val="30"/>
          <w:szCs w:val="30"/>
        </w:rPr>
        <w:t>--  2016</w:t>
      </w:r>
      <w:r w:rsidRPr="00B24CB2">
        <w:rPr>
          <w:rFonts w:ascii="楷体_GB2312" w:eastAsia="楷体_GB2312" w:hAnsi="新宋体" w:hint="eastAsia"/>
          <w:bCs/>
          <w:sz w:val="30"/>
          <w:szCs w:val="30"/>
        </w:rPr>
        <w:t>年</w:t>
      </w:r>
      <w:r>
        <w:rPr>
          <w:rFonts w:ascii="楷体_GB2312" w:eastAsia="楷体_GB2312" w:hAnsi="新宋体" w:hint="eastAsia"/>
          <w:bCs/>
          <w:sz w:val="30"/>
          <w:szCs w:val="30"/>
        </w:rPr>
        <w:t xml:space="preserve"> 12</w:t>
      </w:r>
      <w:r w:rsidRPr="00B24CB2">
        <w:rPr>
          <w:rFonts w:ascii="楷体_GB2312" w:eastAsia="楷体_GB2312" w:hAnsi="新宋体" w:hint="eastAsia"/>
          <w:bCs/>
          <w:sz w:val="30"/>
          <w:szCs w:val="30"/>
        </w:rPr>
        <w:t>月</w:t>
      </w:r>
      <w:r>
        <w:rPr>
          <w:rFonts w:ascii="楷体_GB2312" w:eastAsia="楷体_GB2312" w:hAnsi="新宋体" w:hint="eastAsia"/>
          <w:bCs/>
          <w:sz w:val="30"/>
          <w:szCs w:val="30"/>
        </w:rPr>
        <w:t>31</w:t>
      </w:r>
      <w:r w:rsidRPr="00B24CB2">
        <w:rPr>
          <w:rFonts w:ascii="楷体_GB2312" w:eastAsia="楷体_GB2312" w:hAnsi="新宋体" w:hint="eastAsia"/>
          <w:bCs/>
          <w:sz w:val="30"/>
          <w:szCs w:val="30"/>
        </w:rPr>
        <w:t>日</w:t>
      </w:r>
    </w:p>
    <w:p w:rsidR="007E077B" w:rsidRPr="00B24CB2" w:rsidRDefault="007E077B" w:rsidP="00D930AF">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公开方式：</w:t>
      </w:r>
      <w:r w:rsidRPr="00995D04">
        <w:rPr>
          <w:rFonts w:ascii="楷体_GB2312" w:eastAsia="楷体_GB2312" w:hAnsi="新宋体" w:hint="eastAsia"/>
          <w:bCs/>
          <w:sz w:val="30"/>
          <w:szCs w:val="30"/>
          <w:u w:val="single"/>
        </w:rPr>
        <w:t xml:space="preserve">  </w:t>
      </w:r>
      <w:r>
        <w:rPr>
          <w:rFonts w:ascii="楷体_GB2312" w:eastAsia="楷体_GB2312" w:hAnsi="新宋体" w:hint="eastAsia"/>
          <w:bCs/>
          <w:sz w:val="30"/>
          <w:szCs w:val="30"/>
          <w:u w:val="single"/>
        </w:rPr>
        <w:t xml:space="preserve">  主动公开</w:t>
      </w:r>
      <w:r w:rsidRPr="00995D04">
        <w:rPr>
          <w:rFonts w:ascii="楷体_GB2312" w:eastAsia="楷体_GB2312" w:hAnsi="新宋体" w:hint="eastAsia"/>
          <w:bCs/>
          <w:sz w:val="30"/>
          <w:szCs w:val="30"/>
          <w:u w:val="single"/>
        </w:rPr>
        <w:t xml:space="preserve">   </w:t>
      </w:r>
      <w:r>
        <w:rPr>
          <w:rFonts w:ascii="楷体_GB2312" w:eastAsia="楷体_GB2312" w:hAnsi="新宋体" w:hint="eastAsia"/>
          <w:bCs/>
          <w:sz w:val="30"/>
          <w:szCs w:val="30"/>
          <w:u w:val="single"/>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7E077B" w:rsidRPr="00121D3C" w:rsidTr="0080330D">
        <w:tc>
          <w:tcPr>
            <w:tcW w:w="1984" w:type="dxa"/>
            <w:vAlign w:val="center"/>
          </w:tcPr>
          <w:p w:rsidR="007E077B" w:rsidRPr="00121D3C" w:rsidRDefault="007E077B" w:rsidP="00D930AF">
            <w:pPr>
              <w:pStyle w:val="a6"/>
              <w:spacing w:before="0" w:beforeAutospacing="0" w:after="0" w:afterAutospacing="0" w:line="360" w:lineRule="auto"/>
              <w:jc w:val="center"/>
              <w:rPr>
                <w:rStyle w:val="a7"/>
                <w:sz w:val="28"/>
                <w:szCs w:val="28"/>
              </w:rPr>
            </w:pPr>
            <w:r w:rsidRPr="00121D3C">
              <w:rPr>
                <w:rStyle w:val="a7"/>
                <w:rFonts w:hint="eastAsia"/>
                <w:sz w:val="28"/>
                <w:szCs w:val="28"/>
              </w:rPr>
              <w:t>项  目</w:t>
            </w:r>
          </w:p>
        </w:tc>
        <w:tc>
          <w:tcPr>
            <w:tcW w:w="6237" w:type="dxa"/>
            <w:vAlign w:val="center"/>
          </w:tcPr>
          <w:p w:rsidR="007E077B" w:rsidRPr="00121D3C" w:rsidRDefault="007E077B" w:rsidP="00D930AF">
            <w:pPr>
              <w:pStyle w:val="a6"/>
              <w:spacing w:before="0" w:beforeAutospacing="0" w:after="0" w:afterAutospacing="0" w:line="360" w:lineRule="auto"/>
              <w:jc w:val="center"/>
              <w:rPr>
                <w:rStyle w:val="a7"/>
                <w:sz w:val="28"/>
                <w:szCs w:val="28"/>
              </w:rPr>
            </w:pPr>
            <w:r w:rsidRPr="00121D3C">
              <w:rPr>
                <w:rStyle w:val="a7"/>
                <w:rFonts w:hint="eastAsia"/>
                <w:sz w:val="28"/>
                <w:szCs w:val="28"/>
              </w:rPr>
              <w:t>具 体 内 容</w:t>
            </w:r>
          </w:p>
        </w:tc>
      </w:tr>
      <w:tr w:rsidR="007E077B" w:rsidRPr="00FE0322" w:rsidTr="0080330D">
        <w:tc>
          <w:tcPr>
            <w:tcW w:w="1984" w:type="dxa"/>
          </w:tcPr>
          <w:p w:rsidR="007E077B" w:rsidRPr="00121D3C" w:rsidRDefault="007E077B" w:rsidP="00D930AF">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项目名称</w:t>
            </w:r>
          </w:p>
        </w:tc>
        <w:tc>
          <w:tcPr>
            <w:tcW w:w="6237" w:type="dxa"/>
          </w:tcPr>
          <w:p w:rsidR="007E077B" w:rsidRPr="00A66E64" w:rsidRDefault="007E077B" w:rsidP="00D930AF">
            <w:pPr>
              <w:pStyle w:val="a6"/>
              <w:spacing w:before="0" w:beforeAutospacing="0" w:after="0" w:afterAutospacing="0" w:line="360" w:lineRule="auto"/>
              <w:rPr>
                <w:rStyle w:val="a7"/>
                <w:rFonts w:asciiTheme="minorEastAsia" w:eastAsiaTheme="minorEastAsia" w:hAnsiTheme="minorEastAsia"/>
                <w:b w:val="0"/>
                <w:sz w:val="21"/>
                <w:szCs w:val="21"/>
              </w:rPr>
            </w:pPr>
            <w:r w:rsidRPr="007E077B">
              <w:rPr>
                <w:rFonts w:asciiTheme="minorEastAsia" w:eastAsiaTheme="minorEastAsia" w:hAnsiTheme="minorEastAsia" w:hint="eastAsia"/>
                <w:b/>
                <w:sz w:val="21"/>
                <w:szCs w:val="21"/>
              </w:rPr>
              <w:t>2015年智慧城市安防视频资源共享系统（二期）项目</w:t>
            </w:r>
          </w:p>
        </w:tc>
      </w:tr>
      <w:tr w:rsidR="007E077B" w:rsidRPr="00FE0322" w:rsidTr="0080330D">
        <w:tc>
          <w:tcPr>
            <w:tcW w:w="1984" w:type="dxa"/>
          </w:tcPr>
          <w:p w:rsidR="007E077B" w:rsidRPr="00121D3C" w:rsidRDefault="007E077B" w:rsidP="00D930AF">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预算金额</w:t>
            </w:r>
          </w:p>
        </w:tc>
        <w:tc>
          <w:tcPr>
            <w:tcW w:w="6237" w:type="dxa"/>
          </w:tcPr>
          <w:p w:rsidR="007E077B" w:rsidRPr="00A66E64" w:rsidRDefault="00901272" w:rsidP="00D930AF">
            <w:pPr>
              <w:pStyle w:val="a6"/>
              <w:spacing w:before="0" w:beforeAutospacing="0" w:after="0" w:afterAutospacing="0" w:line="360" w:lineRule="auto"/>
              <w:rPr>
                <w:rStyle w:val="a7"/>
                <w:rFonts w:asciiTheme="minorEastAsia" w:eastAsiaTheme="minorEastAsia" w:hAnsiTheme="minorEastAsia"/>
                <w:b w:val="0"/>
                <w:sz w:val="21"/>
                <w:szCs w:val="21"/>
              </w:rPr>
            </w:pPr>
            <w:r w:rsidRPr="00901272">
              <w:rPr>
                <w:rFonts w:asciiTheme="minorEastAsia" w:eastAsiaTheme="minorEastAsia" w:hAnsiTheme="minorEastAsia"/>
                <w:b/>
                <w:bCs/>
                <w:color w:val="000000"/>
                <w:sz w:val="21"/>
                <w:szCs w:val="21"/>
              </w:rPr>
              <w:t>1146.917</w:t>
            </w:r>
            <w:r w:rsidR="007E077B" w:rsidRPr="00A66E64">
              <w:rPr>
                <w:rStyle w:val="a7"/>
                <w:rFonts w:asciiTheme="minorEastAsia" w:eastAsiaTheme="minorEastAsia" w:hAnsiTheme="minorEastAsia" w:hint="eastAsia"/>
                <w:sz w:val="21"/>
                <w:szCs w:val="21"/>
              </w:rPr>
              <w:t>万元</w:t>
            </w:r>
          </w:p>
        </w:tc>
      </w:tr>
      <w:tr w:rsidR="007E077B" w:rsidRPr="00FE0322" w:rsidTr="0080330D">
        <w:tc>
          <w:tcPr>
            <w:tcW w:w="1984" w:type="dxa"/>
          </w:tcPr>
          <w:p w:rsidR="007E077B" w:rsidRPr="00121D3C" w:rsidRDefault="007E077B" w:rsidP="00D930AF">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主管部门</w:t>
            </w:r>
          </w:p>
        </w:tc>
        <w:tc>
          <w:tcPr>
            <w:tcW w:w="6237" w:type="dxa"/>
          </w:tcPr>
          <w:p w:rsidR="007E077B" w:rsidRPr="00A66E64" w:rsidRDefault="00901272" w:rsidP="00D930AF">
            <w:pPr>
              <w:pStyle w:val="a6"/>
              <w:spacing w:before="0" w:beforeAutospacing="0" w:after="0" w:afterAutospacing="0" w:line="360" w:lineRule="auto"/>
              <w:rPr>
                <w:rStyle w:val="a7"/>
                <w:rFonts w:asciiTheme="minorEastAsia" w:eastAsiaTheme="minorEastAsia" w:hAnsiTheme="minorEastAsia"/>
                <w:b w:val="0"/>
                <w:sz w:val="21"/>
                <w:szCs w:val="21"/>
              </w:rPr>
            </w:pPr>
            <w:r w:rsidRPr="00901272">
              <w:rPr>
                <w:rFonts w:asciiTheme="minorEastAsia" w:eastAsiaTheme="minorEastAsia" w:hAnsiTheme="minorEastAsia" w:hint="eastAsia"/>
                <w:b/>
                <w:sz w:val="21"/>
                <w:szCs w:val="21"/>
              </w:rPr>
              <w:t>上海市公安局静安分局</w:t>
            </w:r>
          </w:p>
        </w:tc>
      </w:tr>
      <w:tr w:rsidR="007E077B" w:rsidRPr="00FE0322" w:rsidTr="0080330D">
        <w:tc>
          <w:tcPr>
            <w:tcW w:w="1984" w:type="dxa"/>
          </w:tcPr>
          <w:p w:rsidR="007E077B" w:rsidRPr="00121D3C" w:rsidRDefault="007E077B" w:rsidP="00D930AF">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评价分值</w:t>
            </w:r>
          </w:p>
        </w:tc>
        <w:tc>
          <w:tcPr>
            <w:tcW w:w="6237" w:type="dxa"/>
          </w:tcPr>
          <w:p w:rsidR="007E077B" w:rsidRPr="00A66E64" w:rsidRDefault="007E077B" w:rsidP="00D930AF">
            <w:pPr>
              <w:pStyle w:val="a6"/>
              <w:spacing w:before="0" w:beforeAutospacing="0" w:after="0" w:afterAutospacing="0" w:line="360" w:lineRule="auto"/>
              <w:rPr>
                <w:rStyle w:val="a7"/>
                <w:rFonts w:asciiTheme="minorEastAsia" w:eastAsiaTheme="minorEastAsia" w:hAnsiTheme="minorEastAsia"/>
                <w:b w:val="0"/>
                <w:sz w:val="21"/>
                <w:szCs w:val="21"/>
              </w:rPr>
            </w:pPr>
            <w:r w:rsidRPr="007E077B">
              <w:rPr>
                <w:rFonts w:asciiTheme="minorEastAsia" w:eastAsiaTheme="minorEastAsia" w:hAnsiTheme="minorEastAsia"/>
                <w:b/>
                <w:sz w:val="21"/>
                <w:szCs w:val="21"/>
              </w:rPr>
              <w:t>89.00</w:t>
            </w:r>
          </w:p>
        </w:tc>
      </w:tr>
      <w:tr w:rsidR="007E077B" w:rsidRPr="00FE0322" w:rsidTr="0080330D">
        <w:tc>
          <w:tcPr>
            <w:tcW w:w="1984" w:type="dxa"/>
          </w:tcPr>
          <w:p w:rsidR="007E077B" w:rsidRPr="00121D3C" w:rsidRDefault="007E077B" w:rsidP="00D930AF">
            <w:pPr>
              <w:pStyle w:val="a6"/>
              <w:spacing w:before="0" w:beforeAutospacing="0" w:after="0" w:afterAutospacing="0" w:line="360" w:lineRule="auto"/>
              <w:rPr>
                <w:rStyle w:val="a7"/>
                <w:rFonts w:ascii="楷体_GB2312" w:eastAsia="楷体_GB2312"/>
                <w:b w:val="0"/>
              </w:rPr>
            </w:pPr>
            <w:r w:rsidRPr="00121D3C">
              <w:rPr>
                <w:rStyle w:val="a7"/>
                <w:rFonts w:ascii="楷体_GB2312" w:eastAsia="楷体_GB2312" w:hint="eastAsia"/>
              </w:rPr>
              <w:t>评价</w:t>
            </w:r>
            <w:r>
              <w:rPr>
                <w:rStyle w:val="a7"/>
                <w:rFonts w:ascii="楷体_GB2312" w:eastAsia="楷体_GB2312" w:hint="eastAsia"/>
              </w:rPr>
              <w:t>等级</w:t>
            </w:r>
          </w:p>
        </w:tc>
        <w:tc>
          <w:tcPr>
            <w:tcW w:w="6237" w:type="dxa"/>
          </w:tcPr>
          <w:p w:rsidR="007E077B" w:rsidRPr="00A66E64" w:rsidRDefault="00901272" w:rsidP="00D930AF">
            <w:pPr>
              <w:pStyle w:val="a6"/>
              <w:spacing w:before="0" w:beforeAutospacing="0" w:after="0" w:afterAutospacing="0" w:line="360" w:lineRule="auto"/>
              <w:rPr>
                <w:rStyle w:val="a7"/>
                <w:rFonts w:asciiTheme="minorEastAsia" w:eastAsiaTheme="minorEastAsia" w:hAnsiTheme="minorEastAsia"/>
                <w:b w:val="0"/>
                <w:sz w:val="21"/>
                <w:szCs w:val="21"/>
              </w:rPr>
            </w:pPr>
            <w:r>
              <w:rPr>
                <w:rFonts w:hint="eastAsia"/>
                <w:b/>
              </w:rPr>
              <w:t>良</w:t>
            </w:r>
          </w:p>
        </w:tc>
      </w:tr>
      <w:tr w:rsidR="007E077B" w:rsidRPr="00FE0322" w:rsidTr="0080330D">
        <w:trPr>
          <w:trHeight w:val="1113"/>
        </w:trPr>
        <w:tc>
          <w:tcPr>
            <w:tcW w:w="1984" w:type="dxa"/>
            <w:vAlign w:val="center"/>
          </w:tcPr>
          <w:p w:rsidR="007E077B" w:rsidRPr="00121D3C" w:rsidRDefault="007E077B" w:rsidP="00D930AF">
            <w:pPr>
              <w:pStyle w:val="a6"/>
              <w:spacing w:before="0" w:beforeAutospacing="0" w:after="0" w:afterAutospacing="0" w:line="360" w:lineRule="auto"/>
              <w:jc w:val="both"/>
              <w:rPr>
                <w:rStyle w:val="a7"/>
                <w:rFonts w:ascii="楷体_GB2312" w:eastAsia="楷体_GB2312"/>
                <w:b w:val="0"/>
              </w:rPr>
            </w:pPr>
            <w:r w:rsidRPr="00121D3C">
              <w:rPr>
                <w:rStyle w:val="a7"/>
                <w:rFonts w:ascii="楷体_GB2312" w:eastAsia="楷体_GB2312" w:hint="eastAsia"/>
              </w:rPr>
              <w:t>主要绩效</w:t>
            </w:r>
          </w:p>
        </w:tc>
        <w:tc>
          <w:tcPr>
            <w:tcW w:w="6237" w:type="dxa"/>
          </w:tcPr>
          <w:p w:rsidR="007E077B" w:rsidRPr="00D930AF" w:rsidRDefault="007E077B" w:rsidP="00D930AF">
            <w:pPr>
              <w:adjustRightInd w:val="0"/>
              <w:snapToGrid w:val="0"/>
              <w:spacing w:line="360" w:lineRule="auto"/>
              <w:ind w:firstLineChars="200" w:firstLine="420"/>
              <w:rPr>
                <w:rFonts w:ascii="宋体" w:hAnsi="宋体" w:cs="宋体"/>
                <w:bCs/>
                <w:color w:val="000000"/>
                <w:szCs w:val="21"/>
              </w:rPr>
            </w:pPr>
            <w:r w:rsidRPr="00D930AF">
              <w:rPr>
                <w:rFonts w:ascii="宋体" w:hAnsi="宋体" w:cs="宋体"/>
                <w:bCs/>
                <w:color w:val="000000"/>
                <w:szCs w:val="21"/>
              </w:rPr>
              <w:t>为实现《上海市推进智慧城市建设2011-2013年行动计划》中“安防视频资源共享系统”的规划要求和《任务书》中目标，2013年上海市公安局静安分局启动静安区智慧城市安防视频资源共享系统项目，</w:t>
            </w:r>
            <w:r w:rsidRPr="00D930AF">
              <w:rPr>
                <w:rFonts w:ascii="宋体" w:hAnsi="宋体" w:cs="宋体" w:hint="eastAsia"/>
                <w:bCs/>
                <w:color w:val="000000"/>
                <w:szCs w:val="21"/>
              </w:rPr>
              <w:t>依照《上海公安图像监控系统与社会单位图像系统联网接入技术规范（V1.0）》（沪公信息办[2012]19号）和《上海公安数字高清图像监控系统建设技术规范V1.0》的技术标准要求，</w:t>
            </w:r>
            <w:r w:rsidRPr="00D930AF">
              <w:rPr>
                <w:rFonts w:ascii="宋体" w:hAnsi="宋体" w:cs="宋体"/>
                <w:bCs/>
                <w:color w:val="000000"/>
                <w:szCs w:val="21"/>
              </w:rPr>
              <w:t>项目共分三期，计划对全区所有道路覆盖高清监控系统，并完善相应的应用平台、监控网络。</w:t>
            </w:r>
          </w:p>
          <w:p w:rsidR="007E077B" w:rsidRPr="00D930AF" w:rsidRDefault="007E077B" w:rsidP="00D930AF">
            <w:pPr>
              <w:adjustRightInd w:val="0"/>
              <w:snapToGrid w:val="0"/>
              <w:spacing w:line="360" w:lineRule="auto"/>
              <w:ind w:firstLineChars="200" w:firstLine="420"/>
              <w:rPr>
                <w:rFonts w:ascii="宋体" w:hAnsi="宋体" w:cs="宋体"/>
                <w:bCs/>
                <w:color w:val="000000"/>
                <w:szCs w:val="21"/>
              </w:rPr>
            </w:pPr>
            <w:r w:rsidRPr="00D930AF">
              <w:rPr>
                <w:rFonts w:ascii="宋体" w:hAnsi="宋体" w:cs="宋体" w:hint="eastAsia"/>
                <w:bCs/>
                <w:color w:val="000000"/>
                <w:szCs w:val="21"/>
              </w:rPr>
              <w:t>静安区智慧城市安防视频资源共享系统（二期）项目预算来源于区级财政资金。该项目为2014-2015年跨年度一次性项目，依照《关于静安区智慧城市安防视频资源共享系统（二期）可行性研究报告暨项目建议书的批复》（</w:t>
            </w:r>
            <w:proofErr w:type="gramStart"/>
            <w:r w:rsidRPr="00D930AF">
              <w:rPr>
                <w:rFonts w:ascii="宋体" w:hAnsi="宋体" w:cs="宋体" w:hint="eastAsia"/>
                <w:bCs/>
                <w:color w:val="000000"/>
                <w:szCs w:val="21"/>
              </w:rPr>
              <w:t>静发改</w:t>
            </w:r>
            <w:proofErr w:type="gramEnd"/>
            <w:r w:rsidRPr="00D930AF">
              <w:rPr>
                <w:rFonts w:ascii="宋体" w:hAnsi="宋体" w:cs="宋体" w:hint="eastAsia"/>
                <w:bCs/>
                <w:color w:val="000000"/>
                <w:szCs w:val="21"/>
              </w:rPr>
              <w:t>委[2014]20号）项目总投资为2185.87万元。从项目2014-2015年实际资金安排情况看，项目实际预算资金为1908.045万元，其中：2014年安排1050万元，共支出761.128万元，预算执行率72.49%。288.872万元结转至2015年使用，2015年预算安排858.045万元，因此，项目2015年实际可用资金为1146.917万元，截止12月31日，2015年共计支出923.23万元，预算执行率为80.50%。</w:t>
            </w:r>
          </w:p>
          <w:p w:rsidR="007E077B" w:rsidRPr="00D930AF" w:rsidRDefault="007E077B" w:rsidP="00D930AF">
            <w:pPr>
              <w:adjustRightInd w:val="0"/>
              <w:snapToGrid w:val="0"/>
              <w:spacing w:line="360" w:lineRule="auto"/>
              <w:ind w:firstLineChars="200" w:firstLine="420"/>
              <w:rPr>
                <w:rFonts w:ascii="宋体" w:hAnsi="宋体" w:cs="宋体"/>
                <w:bCs/>
                <w:color w:val="000000"/>
                <w:szCs w:val="21"/>
              </w:rPr>
            </w:pPr>
            <w:r w:rsidRPr="00D930AF">
              <w:rPr>
                <w:rFonts w:ascii="宋体" w:hAnsi="宋体" w:cs="宋体" w:hint="eastAsia"/>
                <w:bCs/>
                <w:color w:val="000000"/>
                <w:szCs w:val="21"/>
              </w:rPr>
              <w:t>从上海市公安局静安分局2015年智慧城市安防视频资源共享系统（二期）</w:t>
            </w:r>
            <w:proofErr w:type="gramStart"/>
            <w:r w:rsidRPr="00D930AF">
              <w:rPr>
                <w:rFonts w:ascii="宋体" w:hAnsi="宋体" w:cs="宋体" w:hint="eastAsia"/>
                <w:bCs/>
                <w:color w:val="000000"/>
                <w:szCs w:val="21"/>
              </w:rPr>
              <w:t>”</w:t>
            </w:r>
            <w:proofErr w:type="gramEnd"/>
            <w:r w:rsidRPr="00D930AF">
              <w:rPr>
                <w:rFonts w:ascii="宋体" w:hAnsi="宋体" w:cs="宋体" w:hint="eastAsia"/>
                <w:bCs/>
                <w:color w:val="000000"/>
                <w:szCs w:val="21"/>
              </w:rPr>
              <w:t>项目整体绩效上看，该项目完成情况较好，在项目产出方面，计划完成率和验收合格率均为100%；在项目效益方面，设备使用效果较好，并且有较为健全的长效管理机制。经评价，该</w:t>
            </w:r>
            <w:r w:rsidRPr="00D930AF">
              <w:rPr>
                <w:rFonts w:ascii="宋体" w:hAnsi="宋体" w:cs="宋体" w:hint="eastAsia"/>
                <w:bCs/>
                <w:color w:val="000000"/>
                <w:szCs w:val="21"/>
              </w:rPr>
              <w:lastRenderedPageBreak/>
              <w:t>项目得分为89.00分，对应绩效等级为“良”。</w:t>
            </w:r>
          </w:p>
          <w:p w:rsidR="007E077B" w:rsidRPr="00D930AF" w:rsidRDefault="007E077B" w:rsidP="00D930AF">
            <w:pPr>
              <w:pStyle w:val="2"/>
              <w:spacing w:before="0" w:after="0"/>
              <w:ind w:firstLineChars="196" w:firstLine="413"/>
              <w:rPr>
                <w:rFonts w:ascii="宋体" w:eastAsia="宋体" w:hAnsi="宋体" w:cs="宋体"/>
                <w:bCs w:val="0"/>
                <w:color w:val="000000"/>
                <w:sz w:val="21"/>
                <w:szCs w:val="21"/>
                <w:lang w:bidi="en-US"/>
              </w:rPr>
            </w:pPr>
            <w:r w:rsidRPr="00D930AF">
              <w:rPr>
                <w:rFonts w:ascii="宋体" w:eastAsia="宋体" w:hAnsi="宋体" w:cs="宋体" w:hint="eastAsia"/>
                <w:bCs w:val="0"/>
                <w:color w:val="000000"/>
                <w:sz w:val="21"/>
                <w:szCs w:val="21"/>
                <w:lang w:bidi="en-US"/>
              </w:rPr>
              <w:t>主要经验及做法</w:t>
            </w:r>
          </w:p>
          <w:p w:rsidR="007E077B" w:rsidRPr="00D930AF" w:rsidRDefault="007E077B" w:rsidP="00D930AF">
            <w:pPr>
              <w:spacing w:line="360" w:lineRule="auto"/>
              <w:ind w:firstLineChars="196" w:firstLine="413"/>
              <w:rPr>
                <w:rFonts w:ascii="宋体" w:hAnsi="宋体" w:cs="宋体"/>
                <w:b/>
                <w:bCs/>
                <w:color w:val="000000"/>
                <w:szCs w:val="21"/>
              </w:rPr>
            </w:pPr>
            <w:r w:rsidRPr="00D930AF">
              <w:rPr>
                <w:rFonts w:ascii="宋体" w:hAnsi="宋体" w:cs="宋体" w:hint="eastAsia"/>
                <w:b/>
                <w:bCs/>
                <w:color w:val="000000"/>
                <w:szCs w:val="21"/>
              </w:rPr>
              <w:t>1</w:t>
            </w:r>
            <w:r w:rsidR="002A018B">
              <w:rPr>
                <w:rFonts w:ascii="宋体" w:hAnsi="宋体" w:cs="宋体" w:hint="eastAsia"/>
                <w:b/>
                <w:bCs/>
                <w:color w:val="000000"/>
                <w:szCs w:val="21"/>
              </w:rPr>
              <w:t>.</w:t>
            </w:r>
            <w:r w:rsidRPr="00D930AF">
              <w:rPr>
                <w:rFonts w:ascii="宋体" w:hAnsi="宋体" w:cs="宋体" w:hint="eastAsia"/>
                <w:b/>
                <w:bCs/>
                <w:color w:val="000000"/>
                <w:szCs w:val="21"/>
              </w:rPr>
              <w:t>承前启后深化系统建设，构筑“国际静安”坚实保障。</w:t>
            </w:r>
            <w:r w:rsidRPr="00D930AF">
              <w:rPr>
                <w:rFonts w:ascii="宋体" w:hAnsi="宋体" w:cs="宋体" w:hint="eastAsia"/>
                <w:bCs/>
                <w:color w:val="000000"/>
                <w:szCs w:val="21"/>
              </w:rPr>
              <w:t>智慧城市安防视频资源共享系统（二期）项目在一期的基础上，以公安实战需求为导向，秉承“金盾工程”利用信息化技术服务实战的需求，兼顾建设成本以及上海市公安监控三级系统的统一管理和数据资源共享的要求，进一步深化“高清图像监控系统”建设，同时为三期全面实现全区道路覆盖高清监控系统打下坚实的基础。智慧城市安防视频资源共享系统（二期）项目的实施，为创造安全、稳定的社会秩序和环境提供有力的技术支撑，有效提升上海的国际化大都市形象，也为打造“国际静安”进程构筑坚实的保障。</w:t>
            </w:r>
          </w:p>
          <w:p w:rsidR="007E077B" w:rsidRPr="00D930AF" w:rsidRDefault="007E077B" w:rsidP="002A018B">
            <w:pPr>
              <w:pStyle w:val="a6"/>
              <w:spacing w:before="0" w:beforeAutospacing="0" w:after="0" w:afterAutospacing="0" w:line="360" w:lineRule="auto"/>
              <w:ind w:firstLineChars="196" w:firstLine="413"/>
              <w:rPr>
                <w:rStyle w:val="a7"/>
                <w:rFonts w:asciiTheme="minorEastAsia" w:eastAsiaTheme="minorEastAsia" w:hAnsiTheme="minorEastAsia"/>
                <w:sz w:val="21"/>
                <w:szCs w:val="21"/>
              </w:rPr>
            </w:pPr>
            <w:r w:rsidRPr="00D930AF">
              <w:rPr>
                <w:rFonts w:hint="eastAsia"/>
                <w:b/>
                <w:bCs/>
                <w:color w:val="000000"/>
                <w:sz w:val="21"/>
                <w:szCs w:val="21"/>
              </w:rPr>
              <w:t>2</w:t>
            </w:r>
            <w:r w:rsidR="002A018B">
              <w:rPr>
                <w:rFonts w:hint="eastAsia"/>
                <w:b/>
                <w:bCs/>
                <w:color w:val="000000"/>
                <w:sz w:val="21"/>
                <w:szCs w:val="21"/>
              </w:rPr>
              <w:t>.</w:t>
            </w:r>
            <w:r w:rsidRPr="00D930AF">
              <w:rPr>
                <w:rFonts w:hint="eastAsia"/>
                <w:b/>
                <w:bCs/>
                <w:color w:val="000000"/>
                <w:sz w:val="21"/>
                <w:szCs w:val="21"/>
              </w:rPr>
              <w:t>长效管理机制健全，保障项目后续效益。</w:t>
            </w:r>
            <w:r w:rsidRPr="00D930AF">
              <w:rPr>
                <w:rFonts w:hint="eastAsia"/>
                <w:bCs/>
                <w:color w:val="000000"/>
                <w:sz w:val="21"/>
                <w:szCs w:val="21"/>
              </w:rPr>
              <w:t>该项目实施有较为健全的长效管理机制，包括设备维护管理及制度、信息共享机制和固定资产登记制度等，这一系列的制度将较好的保障项目后续效益，维护系统正常运维，有助于实现区域内、及与市局和其他分县局高/标清视频监控资源最大程度共享。</w:t>
            </w:r>
          </w:p>
        </w:tc>
      </w:tr>
      <w:tr w:rsidR="007E077B" w:rsidRPr="00737384" w:rsidTr="0080330D">
        <w:trPr>
          <w:trHeight w:val="1397"/>
        </w:trPr>
        <w:tc>
          <w:tcPr>
            <w:tcW w:w="1984" w:type="dxa"/>
            <w:vAlign w:val="center"/>
          </w:tcPr>
          <w:p w:rsidR="007E077B" w:rsidRPr="00121D3C" w:rsidRDefault="007E077B" w:rsidP="00D930AF">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lastRenderedPageBreak/>
              <w:t>主要</w:t>
            </w:r>
            <w:r w:rsidRPr="00121D3C">
              <w:rPr>
                <w:rStyle w:val="a7"/>
                <w:rFonts w:ascii="楷体_GB2312" w:eastAsia="楷体_GB2312" w:hint="eastAsia"/>
              </w:rPr>
              <w:t>问题</w:t>
            </w:r>
          </w:p>
        </w:tc>
        <w:tc>
          <w:tcPr>
            <w:tcW w:w="6237" w:type="dxa"/>
          </w:tcPr>
          <w:p w:rsidR="007E077B" w:rsidRPr="00D930AF" w:rsidRDefault="007E077B" w:rsidP="00D930AF">
            <w:pPr>
              <w:keepNext/>
              <w:keepLines/>
              <w:spacing w:line="360" w:lineRule="auto"/>
              <w:ind w:firstLineChars="196" w:firstLine="413"/>
              <w:jc w:val="left"/>
              <w:outlineLvl w:val="1"/>
              <w:rPr>
                <w:rFonts w:ascii="宋体" w:hAnsi="宋体"/>
                <w:bCs/>
                <w:szCs w:val="21"/>
              </w:rPr>
            </w:pPr>
            <w:r w:rsidRPr="00D930AF">
              <w:rPr>
                <w:rFonts w:ascii="宋体" w:hAnsi="宋体" w:hint="eastAsia"/>
                <w:b/>
                <w:bCs/>
                <w:szCs w:val="21"/>
              </w:rPr>
              <w:t>1</w:t>
            </w:r>
            <w:r w:rsidR="002A018B">
              <w:rPr>
                <w:rFonts w:ascii="宋体" w:hAnsi="宋体" w:hint="eastAsia"/>
                <w:b/>
                <w:bCs/>
                <w:szCs w:val="21"/>
              </w:rPr>
              <w:t>.</w:t>
            </w:r>
            <w:r w:rsidRPr="00D930AF">
              <w:rPr>
                <w:rFonts w:ascii="宋体" w:hAnsi="宋体" w:hint="eastAsia"/>
                <w:b/>
                <w:bCs/>
                <w:szCs w:val="21"/>
              </w:rPr>
              <w:t>施工进度控制存在不足，工程进度有所延迟。</w:t>
            </w:r>
            <w:r w:rsidRPr="00D930AF">
              <w:rPr>
                <w:rFonts w:ascii="宋体" w:hAnsi="宋体" w:hint="eastAsia"/>
                <w:bCs/>
                <w:szCs w:val="21"/>
              </w:rPr>
              <w:t>因为该项目工程涉及室外施工，项目在施工进度控制上存在不足，导致工程建设方面存在推迟现象，工程计划于2015年5月竣工，实际前端高清设备建设、网络储存及主机扩容、派出所图像监控室改造、分局图像集中数据中心机房建设、高清综合应用平台扩容等建设工程均于2015年8月完成，比计划完工时间推迟3个月，在施工进度控制上存在一定的不足。</w:t>
            </w:r>
          </w:p>
          <w:p w:rsidR="007E077B" w:rsidRPr="00D930AF" w:rsidRDefault="007E077B" w:rsidP="002A018B">
            <w:pPr>
              <w:keepNext/>
              <w:keepLines/>
              <w:spacing w:line="360" w:lineRule="auto"/>
              <w:ind w:firstLineChars="196" w:firstLine="413"/>
              <w:jc w:val="left"/>
              <w:outlineLvl w:val="1"/>
              <w:rPr>
                <w:rStyle w:val="a7"/>
                <w:rFonts w:ascii="宋体" w:hAnsi="宋体"/>
                <w:b w:val="0"/>
                <w:szCs w:val="21"/>
              </w:rPr>
            </w:pPr>
            <w:r w:rsidRPr="00D930AF">
              <w:rPr>
                <w:rFonts w:ascii="宋体" w:hAnsi="宋体" w:hint="eastAsia"/>
                <w:b/>
                <w:bCs/>
                <w:szCs w:val="21"/>
              </w:rPr>
              <w:t>2</w:t>
            </w:r>
            <w:r w:rsidR="002A018B">
              <w:rPr>
                <w:rFonts w:ascii="宋体" w:hAnsi="宋体" w:hint="eastAsia"/>
                <w:b/>
                <w:bCs/>
                <w:szCs w:val="21"/>
              </w:rPr>
              <w:t>.</w:t>
            </w:r>
            <w:r w:rsidRPr="00D930AF">
              <w:rPr>
                <w:rFonts w:ascii="宋体" w:hAnsi="宋体" w:hint="eastAsia"/>
                <w:b/>
                <w:bCs/>
                <w:szCs w:val="21"/>
              </w:rPr>
              <w:t>部分设计费用支付不及时，预算执行进度有偏差。</w:t>
            </w:r>
            <w:r w:rsidRPr="00D930AF">
              <w:rPr>
                <w:rFonts w:ascii="宋体" w:hAnsi="宋体" w:hint="eastAsia"/>
                <w:bCs/>
                <w:szCs w:val="21"/>
              </w:rPr>
              <w:t>在11月的绩效跟踪报告中，已指出该项目设计费支付存在一定的滞后。在后评价阶段的合</w:t>
            </w:r>
            <w:proofErr w:type="gramStart"/>
            <w:r w:rsidRPr="00D930AF">
              <w:rPr>
                <w:rFonts w:ascii="宋体" w:hAnsi="宋体" w:hint="eastAsia"/>
                <w:bCs/>
                <w:szCs w:val="21"/>
              </w:rPr>
              <w:t>规</w:t>
            </w:r>
            <w:proofErr w:type="gramEnd"/>
            <w:r w:rsidRPr="00D930AF">
              <w:rPr>
                <w:rFonts w:ascii="宋体" w:hAnsi="宋体" w:hint="eastAsia"/>
                <w:bCs/>
                <w:szCs w:val="21"/>
              </w:rPr>
              <w:t>性检查中发现，在2015年最后一个季度中，主管部门虽进行部分设计费和光缆勘察设计费的支付，但截止12月31日，因项目实施单位未及时递交相关发票，该项目的设计费和光缆勘察设计费的支付金额仍与合同约定进度有所偏差，尚未完成尾款支付，涉及金额19.68万元，对预算执行有一定的影响。</w:t>
            </w:r>
          </w:p>
        </w:tc>
      </w:tr>
      <w:tr w:rsidR="007E077B" w:rsidRPr="00FE0322" w:rsidTr="0080330D">
        <w:trPr>
          <w:trHeight w:val="821"/>
        </w:trPr>
        <w:tc>
          <w:tcPr>
            <w:tcW w:w="1984" w:type="dxa"/>
            <w:vAlign w:val="center"/>
          </w:tcPr>
          <w:p w:rsidR="007E077B" w:rsidRPr="00121D3C" w:rsidRDefault="007E077B" w:rsidP="00D930AF">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t>整改建议</w:t>
            </w:r>
          </w:p>
        </w:tc>
        <w:tc>
          <w:tcPr>
            <w:tcW w:w="6237" w:type="dxa"/>
          </w:tcPr>
          <w:p w:rsidR="007E077B" w:rsidRPr="00D930AF" w:rsidRDefault="007E077B" w:rsidP="002A018B">
            <w:pPr>
              <w:spacing w:line="360" w:lineRule="auto"/>
              <w:ind w:firstLineChars="196" w:firstLine="413"/>
              <w:rPr>
                <w:rFonts w:ascii="宋体" w:hAnsi="宋体"/>
                <w:b/>
                <w:color w:val="000000"/>
                <w:szCs w:val="21"/>
              </w:rPr>
            </w:pPr>
            <w:r w:rsidRPr="00D930AF">
              <w:rPr>
                <w:rFonts w:ascii="宋体" w:hAnsi="宋体" w:hint="eastAsia"/>
                <w:b/>
                <w:color w:val="000000"/>
                <w:szCs w:val="21"/>
              </w:rPr>
              <w:t>1</w:t>
            </w:r>
            <w:r w:rsidR="002A018B">
              <w:rPr>
                <w:rFonts w:ascii="宋体" w:hAnsi="宋体" w:hint="eastAsia"/>
                <w:b/>
                <w:color w:val="000000"/>
                <w:szCs w:val="21"/>
              </w:rPr>
              <w:t>.</w:t>
            </w:r>
            <w:r w:rsidRPr="00D930AF">
              <w:rPr>
                <w:rFonts w:ascii="宋体" w:hAnsi="宋体" w:hint="eastAsia"/>
                <w:b/>
                <w:color w:val="000000"/>
                <w:szCs w:val="21"/>
              </w:rPr>
              <w:t>加强施工进度控制，提高工程施工效率。</w:t>
            </w:r>
            <w:r w:rsidRPr="00D930AF">
              <w:rPr>
                <w:rFonts w:ascii="宋体" w:hAnsi="宋体" w:hint="eastAsia"/>
                <w:color w:val="000000"/>
                <w:szCs w:val="21"/>
              </w:rPr>
              <w:t>建议预算单位和监理单位在今后类似项目执行过程中，有效落实项目进度控制，督促施工单位提高施工效率。对于确实需进行调整的项目内容，建议依</w:t>
            </w:r>
            <w:r w:rsidRPr="00D930AF">
              <w:rPr>
                <w:rFonts w:ascii="宋体" w:hAnsi="宋体" w:hint="eastAsia"/>
                <w:color w:val="000000"/>
                <w:szCs w:val="21"/>
              </w:rPr>
              <w:lastRenderedPageBreak/>
              <w:t>照《建设施工监理规范》，及时规范的做好工程变更手续，保障工程能顺利按照计划时间节点如期竣工。</w:t>
            </w:r>
          </w:p>
          <w:p w:rsidR="007E077B" w:rsidRPr="00D930AF" w:rsidRDefault="007E077B" w:rsidP="002A018B">
            <w:pPr>
              <w:spacing w:line="360" w:lineRule="auto"/>
              <w:ind w:firstLineChars="253" w:firstLine="533"/>
              <w:rPr>
                <w:rStyle w:val="a7"/>
                <w:rFonts w:ascii="宋体" w:hAnsi="宋体"/>
                <w:b w:val="0"/>
                <w:bCs w:val="0"/>
                <w:color w:val="000000"/>
                <w:szCs w:val="21"/>
              </w:rPr>
            </w:pPr>
            <w:r w:rsidRPr="00D930AF">
              <w:rPr>
                <w:rFonts w:ascii="宋体" w:hAnsi="宋体" w:hint="eastAsia"/>
                <w:b/>
                <w:color w:val="000000"/>
                <w:szCs w:val="21"/>
              </w:rPr>
              <w:t>2</w:t>
            </w:r>
            <w:r w:rsidR="002A018B">
              <w:rPr>
                <w:rFonts w:ascii="宋体" w:hAnsi="宋体" w:hint="eastAsia"/>
                <w:b/>
                <w:color w:val="000000"/>
                <w:szCs w:val="21"/>
              </w:rPr>
              <w:t>.</w:t>
            </w:r>
            <w:r w:rsidRPr="00D930AF">
              <w:rPr>
                <w:rFonts w:ascii="宋体" w:hAnsi="宋体" w:hint="eastAsia"/>
                <w:b/>
                <w:color w:val="000000"/>
                <w:szCs w:val="21"/>
              </w:rPr>
              <w:t>加强合同执行意识，提高预算执行效率。</w:t>
            </w:r>
            <w:r w:rsidRPr="00D930AF">
              <w:rPr>
                <w:rFonts w:ascii="宋体" w:hAnsi="宋体" w:hint="eastAsia"/>
                <w:color w:val="000000"/>
                <w:szCs w:val="21"/>
              </w:rPr>
              <w:t>建议各方需进一步加强合同执行意识，项目单位需保障项目实施进度与合同约定工程时间节点相一致，而预算单位应依照合同中约定的支付进度，按时足额支付合同费用，以提高预算执行效率。</w:t>
            </w:r>
          </w:p>
        </w:tc>
      </w:tr>
      <w:tr w:rsidR="007E077B" w:rsidRPr="002E7D42" w:rsidTr="0080330D">
        <w:trPr>
          <w:trHeight w:val="821"/>
        </w:trPr>
        <w:tc>
          <w:tcPr>
            <w:tcW w:w="1984" w:type="dxa"/>
            <w:vAlign w:val="center"/>
          </w:tcPr>
          <w:p w:rsidR="007E077B" w:rsidRPr="00121D3C" w:rsidRDefault="007E077B" w:rsidP="00D930AF">
            <w:pPr>
              <w:pStyle w:val="a6"/>
              <w:spacing w:before="0" w:beforeAutospacing="0" w:after="0" w:afterAutospacing="0" w:line="360" w:lineRule="auto"/>
              <w:jc w:val="both"/>
              <w:rPr>
                <w:rStyle w:val="a7"/>
                <w:rFonts w:ascii="楷体_GB2312" w:eastAsia="楷体_GB2312"/>
                <w:b w:val="0"/>
              </w:rPr>
            </w:pPr>
            <w:r>
              <w:rPr>
                <w:rStyle w:val="a7"/>
                <w:rFonts w:ascii="楷体_GB2312" w:eastAsia="楷体_GB2312" w:hint="eastAsia"/>
              </w:rPr>
              <w:lastRenderedPageBreak/>
              <w:t>整改情况</w:t>
            </w:r>
          </w:p>
        </w:tc>
        <w:tc>
          <w:tcPr>
            <w:tcW w:w="6237" w:type="dxa"/>
          </w:tcPr>
          <w:p w:rsidR="002E7D42" w:rsidRPr="00D930AF" w:rsidRDefault="002E7D42" w:rsidP="00D930AF">
            <w:pPr>
              <w:pStyle w:val="a6"/>
              <w:spacing w:before="0" w:beforeAutospacing="0" w:after="0" w:afterAutospacing="0" w:line="360" w:lineRule="auto"/>
              <w:ind w:firstLine="420"/>
              <w:rPr>
                <w:rStyle w:val="a7"/>
                <w:rFonts w:asciiTheme="minorEastAsia" w:eastAsiaTheme="minorEastAsia" w:hAnsiTheme="minorEastAsia"/>
                <w:b w:val="0"/>
                <w:sz w:val="21"/>
                <w:szCs w:val="21"/>
              </w:rPr>
            </w:pPr>
            <w:r w:rsidRPr="00D930AF">
              <w:rPr>
                <w:rStyle w:val="a7"/>
                <w:rFonts w:asciiTheme="minorEastAsia" w:eastAsiaTheme="minorEastAsia" w:hAnsiTheme="minorEastAsia" w:hint="eastAsia"/>
                <w:b w:val="0"/>
                <w:sz w:val="21"/>
                <w:szCs w:val="21"/>
              </w:rPr>
              <w:t>我局</w:t>
            </w:r>
            <w:r w:rsidR="00901272" w:rsidRPr="00D930AF">
              <w:rPr>
                <w:rStyle w:val="a7"/>
                <w:rFonts w:asciiTheme="minorEastAsia" w:eastAsiaTheme="minorEastAsia" w:hAnsiTheme="minorEastAsia" w:hint="eastAsia"/>
                <w:b w:val="0"/>
                <w:sz w:val="21"/>
                <w:szCs w:val="21"/>
              </w:rPr>
              <w:t>在接</w:t>
            </w:r>
            <w:r w:rsidRPr="00D930AF">
              <w:rPr>
                <w:rStyle w:val="a7"/>
                <w:rFonts w:asciiTheme="minorEastAsia" w:eastAsiaTheme="minorEastAsia" w:hAnsiTheme="minorEastAsia" w:hint="eastAsia"/>
                <w:b w:val="0"/>
                <w:sz w:val="21"/>
                <w:szCs w:val="21"/>
              </w:rPr>
              <w:t>到区财政局《2015年智慧城市安防视频资源共享系统（二期）项目绩效后评价报告》以及《关于上海市静安区2015年智慧城市安防视频资源共享系统（二期）项目绩效评价结果通知书》后，高度重视，并积极组织相关负责人和项目单位开展学习，深入思考、总结经验，避免在以后的项目中发生类似的情况。针对报</w:t>
            </w:r>
            <w:r w:rsidR="00571A74">
              <w:rPr>
                <w:rStyle w:val="a7"/>
                <w:rFonts w:asciiTheme="minorEastAsia" w:eastAsiaTheme="minorEastAsia" w:hAnsiTheme="minorEastAsia" w:hint="eastAsia"/>
                <w:b w:val="0"/>
                <w:sz w:val="21"/>
                <w:szCs w:val="21"/>
              </w:rPr>
              <w:t>告中提到的两项不足之处，制定</w:t>
            </w:r>
            <w:r w:rsidRPr="00D930AF">
              <w:rPr>
                <w:rStyle w:val="a7"/>
                <w:rFonts w:asciiTheme="minorEastAsia" w:eastAsiaTheme="minorEastAsia" w:hAnsiTheme="minorEastAsia" w:hint="eastAsia"/>
                <w:b w:val="0"/>
                <w:sz w:val="21"/>
                <w:szCs w:val="21"/>
              </w:rPr>
              <w:t>了如下的整改措施：</w:t>
            </w:r>
          </w:p>
          <w:p w:rsidR="002E7D42" w:rsidRPr="00D930AF" w:rsidRDefault="00D930AF" w:rsidP="00D930AF">
            <w:pPr>
              <w:pStyle w:val="a6"/>
              <w:spacing w:before="0" w:beforeAutospacing="0" w:after="0" w:afterAutospacing="0" w:line="360" w:lineRule="auto"/>
              <w:ind w:firstLine="420"/>
              <w:rPr>
                <w:rStyle w:val="a7"/>
                <w:rFonts w:asciiTheme="minorEastAsia" w:eastAsiaTheme="minorEastAsia" w:hAnsiTheme="minorEastAsia"/>
                <w:b w:val="0"/>
                <w:sz w:val="21"/>
                <w:szCs w:val="21"/>
              </w:rPr>
            </w:pPr>
            <w:r>
              <w:rPr>
                <w:rStyle w:val="a7"/>
                <w:rFonts w:asciiTheme="minorEastAsia" w:eastAsiaTheme="minorEastAsia" w:hAnsiTheme="minorEastAsia" w:hint="eastAsia"/>
                <w:b w:val="0"/>
                <w:sz w:val="21"/>
                <w:szCs w:val="21"/>
              </w:rPr>
              <w:t>1</w:t>
            </w:r>
            <w:r w:rsidR="002A018B">
              <w:rPr>
                <w:rStyle w:val="a7"/>
                <w:rFonts w:asciiTheme="minorEastAsia" w:eastAsiaTheme="minorEastAsia" w:hAnsiTheme="minorEastAsia" w:hint="eastAsia"/>
                <w:b w:val="0"/>
                <w:sz w:val="21"/>
                <w:szCs w:val="21"/>
              </w:rPr>
              <w:t>.</w:t>
            </w:r>
            <w:r w:rsidR="002E7D42" w:rsidRPr="00D930AF">
              <w:rPr>
                <w:rStyle w:val="a7"/>
                <w:rFonts w:asciiTheme="minorEastAsia" w:eastAsiaTheme="minorEastAsia" w:hAnsiTheme="minorEastAsia" w:hint="eastAsia"/>
                <w:b w:val="0"/>
                <w:sz w:val="21"/>
                <w:szCs w:val="21"/>
              </w:rPr>
              <w:t>对于施工进度</w:t>
            </w:r>
            <w:r w:rsidR="00A02D91" w:rsidRPr="00D930AF">
              <w:rPr>
                <w:rStyle w:val="a7"/>
                <w:rFonts w:asciiTheme="minorEastAsia" w:eastAsiaTheme="minorEastAsia" w:hAnsiTheme="minorEastAsia" w:hint="eastAsia"/>
                <w:b w:val="0"/>
                <w:sz w:val="21"/>
                <w:szCs w:val="21"/>
              </w:rPr>
              <w:t>中存在的不足，我局将在今后的项目实施中a.充分论证项目工期，全面考虑施工中，特别是</w:t>
            </w:r>
            <w:bookmarkStart w:id="0" w:name="_GoBack"/>
            <w:bookmarkEnd w:id="0"/>
            <w:r w:rsidR="00A02D91" w:rsidRPr="00D930AF">
              <w:rPr>
                <w:rStyle w:val="a7"/>
                <w:rFonts w:asciiTheme="minorEastAsia" w:eastAsiaTheme="minorEastAsia" w:hAnsiTheme="minorEastAsia" w:hint="eastAsia"/>
                <w:b w:val="0"/>
                <w:sz w:val="21"/>
                <w:szCs w:val="21"/>
              </w:rPr>
              <w:t>外场施工中可能遇到的诸如天气、重大活动或节假日等不可抗力因素，并考虑预留一定的系统间的协调沟通时间，合理安排工程期限；b.招标前设计充分、完备，特别是链路走向，设备连接、安装条件等需要充分论证和实地踏勘，避免发生变更过多导致的工期拖延。</w:t>
            </w:r>
            <w:r>
              <w:rPr>
                <w:rStyle w:val="a7"/>
                <w:rFonts w:asciiTheme="minorEastAsia" w:eastAsiaTheme="minorEastAsia" w:hAnsiTheme="minorEastAsia" w:hint="eastAsia"/>
                <w:b w:val="0"/>
                <w:sz w:val="21"/>
                <w:szCs w:val="21"/>
              </w:rPr>
              <w:t>c</w:t>
            </w:r>
            <w:r w:rsidR="00A02D91" w:rsidRPr="00D930AF">
              <w:rPr>
                <w:rStyle w:val="a7"/>
                <w:rFonts w:asciiTheme="minorEastAsia" w:eastAsiaTheme="minorEastAsia" w:hAnsiTheme="minorEastAsia" w:hint="eastAsia"/>
                <w:b w:val="0"/>
                <w:sz w:val="21"/>
                <w:szCs w:val="21"/>
              </w:rPr>
              <w:t>.积极协调各项</w:t>
            </w:r>
            <w:proofErr w:type="gramStart"/>
            <w:r w:rsidR="00A02D91" w:rsidRPr="00D930AF">
              <w:rPr>
                <w:rStyle w:val="a7"/>
                <w:rFonts w:asciiTheme="minorEastAsia" w:eastAsiaTheme="minorEastAsia" w:hAnsiTheme="minorEastAsia" w:hint="eastAsia"/>
                <w:b w:val="0"/>
                <w:sz w:val="21"/>
                <w:szCs w:val="21"/>
              </w:rPr>
              <w:t>目单位间施工</w:t>
            </w:r>
            <w:proofErr w:type="gramEnd"/>
            <w:r w:rsidR="00A02D91" w:rsidRPr="00D930AF">
              <w:rPr>
                <w:rStyle w:val="a7"/>
                <w:rFonts w:asciiTheme="minorEastAsia" w:eastAsiaTheme="minorEastAsia" w:hAnsiTheme="minorEastAsia" w:hint="eastAsia"/>
                <w:b w:val="0"/>
                <w:sz w:val="21"/>
                <w:szCs w:val="21"/>
              </w:rPr>
              <w:t>中的矛盾，避免出现</w:t>
            </w:r>
            <w:r w:rsidR="00901272" w:rsidRPr="00D930AF">
              <w:rPr>
                <w:rStyle w:val="a7"/>
                <w:rFonts w:asciiTheme="minorEastAsia" w:eastAsiaTheme="minorEastAsia" w:hAnsiTheme="minorEastAsia" w:hint="eastAsia"/>
                <w:b w:val="0"/>
                <w:sz w:val="21"/>
                <w:szCs w:val="21"/>
              </w:rPr>
              <w:t>工作界面划分不清，互相推诿，互相扯皮等现象发生，而导致的延</w:t>
            </w:r>
            <w:r w:rsidR="00A02D91" w:rsidRPr="00D930AF">
              <w:rPr>
                <w:rStyle w:val="a7"/>
                <w:rFonts w:asciiTheme="minorEastAsia" w:eastAsiaTheme="minorEastAsia" w:hAnsiTheme="minorEastAsia" w:hint="eastAsia"/>
                <w:b w:val="0"/>
                <w:sz w:val="21"/>
                <w:szCs w:val="21"/>
              </w:rPr>
              <w:t>误工</w:t>
            </w:r>
            <w:r w:rsidR="00901272" w:rsidRPr="00D930AF">
              <w:rPr>
                <w:rStyle w:val="a7"/>
                <w:rFonts w:asciiTheme="minorEastAsia" w:eastAsiaTheme="minorEastAsia" w:hAnsiTheme="minorEastAsia" w:hint="eastAsia"/>
                <w:b w:val="0"/>
                <w:sz w:val="21"/>
                <w:szCs w:val="21"/>
              </w:rPr>
              <w:t>期</w:t>
            </w:r>
            <w:r w:rsidR="00A02D91" w:rsidRPr="00D930AF">
              <w:rPr>
                <w:rStyle w:val="a7"/>
                <w:rFonts w:asciiTheme="minorEastAsia" w:eastAsiaTheme="minorEastAsia" w:hAnsiTheme="minorEastAsia" w:hint="eastAsia"/>
                <w:b w:val="0"/>
                <w:sz w:val="21"/>
                <w:szCs w:val="21"/>
              </w:rPr>
              <w:t>的情况。</w:t>
            </w:r>
          </w:p>
          <w:p w:rsidR="00A02D91" w:rsidRPr="00D930AF" w:rsidRDefault="00D930AF" w:rsidP="002A018B">
            <w:pPr>
              <w:pStyle w:val="a6"/>
              <w:spacing w:before="0" w:beforeAutospacing="0" w:after="0" w:afterAutospacing="0" w:line="360" w:lineRule="auto"/>
              <w:ind w:firstLine="420"/>
              <w:rPr>
                <w:rStyle w:val="a7"/>
                <w:rFonts w:asciiTheme="minorEastAsia" w:eastAsiaTheme="minorEastAsia" w:hAnsiTheme="minorEastAsia"/>
                <w:sz w:val="21"/>
                <w:szCs w:val="21"/>
              </w:rPr>
            </w:pPr>
            <w:r>
              <w:rPr>
                <w:rStyle w:val="a7"/>
                <w:rFonts w:asciiTheme="minorEastAsia" w:eastAsiaTheme="minorEastAsia" w:hAnsiTheme="minorEastAsia" w:hint="eastAsia"/>
                <w:b w:val="0"/>
                <w:sz w:val="21"/>
                <w:szCs w:val="21"/>
              </w:rPr>
              <w:t>2</w:t>
            </w:r>
            <w:r w:rsidR="002A018B">
              <w:rPr>
                <w:rStyle w:val="a7"/>
                <w:rFonts w:asciiTheme="minorEastAsia" w:eastAsiaTheme="minorEastAsia" w:hAnsiTheme="minorEastAsia" w:hint="eastAsia"/>
                <w:b w:val="0"/>
                <w:sz w:val="21"/>
                <w:szCs w:val="21"/>
              </w:rPr>
              <w:t>.</w:t>
            </w:r>
            <w:r w:rsidR="00A02D91" w:rsidRPr="00D930AF">
              <w:rPr>
                <w:rStyle w:val="a7"/>
                <w:rFonts w:asciiTheme="minorEastAsia" w:eastAsiaTheme="minorEastAsia" w:hAnsiTheme="minorEastAsia" w:hint="eastAsia"/>
                <w:b w:val="0"/>
                <w:sz w:val="21"/>
                <w:szCs w:val="21"/>
              </w:rPr>
              <w:t>对于部分设计费用支付不及时的不足。我局将在今后的项目实施中与中标单位确认支付条件，敦促中标单位在满足支付条件后及时</w:t>
            </w:r>
            <w:r w:rsidR="00901272" w:rsidRPr="00D930AF">
              <w:rPr>
                <w:rStyle w:val="a7"/>
                <w:rFonts w:asciiTheme="minorEastAsia" w:eastAsiaTheme="minorEastAsia" w:hAnsiTheme="minorEastAsia" w:hint="eastAsia"/>
                <w:b w:val="0"/>
                <w:sz w:val="21"/>
                <w:szCs w:val="21"/>
              </w:rPr>
              <w:t>开具相关发票，以便及时结款</w:t>
            </w:r>
            <w:r w:rsidR="00A02D91" w:rsidRPr="00D930AF">
              <w:rPr>
                <w:rStyle w:val="a7"/>
                <w:rFonts w:asciiTheme="minorEastAsia" w:eastAsiaTheme="minorEastAsia" w:hAnsiTheme="minorEastAsia" w:hint="eastAsia"/>
                <w:b w:val="0"/>
                <w:sz w:val="21"/>
                <w:szCs w:val="21"/>
              </w:rPr>
              <w:t>。对于已达到付款条件，并经多次催促，仍未开具相关支付发票而导致的无法</w:t>
            </w:r>
            <w:r w:rsidR="00901272" w:rsidRPr="00D930AF">
              <w:rPr>
                <w:rStyle w:val="a7"/>
                <w:rFonts w:asciiTheme="minorEastAsia" w:eastAsiaTheme="minorEastAsia" w:hAnsiTheme="minorEastAsia" w:hint="eastAsia"/>
                <w:b w:val="0"/>
                <w:sz w:val="21"/>
                <w:szCs w:val="21"/>
              </w:rPr>
              <w:t>支付的中标单位，我局将在今后的项目招标中予以否决，不再考虑与其签订任何项目合同。</w:t>
            </w:r>
          </w:p>
        </w:tc>
      </w:tr>
      <w:tr w:rsidR="007E077B" w:rsidRPr="00FE0322" w:rsidTr="0080330D">
        <w:trPr>
          <w:trHeight w:val="821"/>
        </w:trPr>
        <w:tc>
          <w:tcPr>
            <w:tcW w:w="1984" w:type="dxa"/>
            <w:vAlign w:val="center"/>
          </w:tcPr>
          <w:p w:rsidR="007E077B" w:rsidRPr="00121D3C" w:rsidRDefault="007E077B" w:rsidP="00D930AF">
            <w:pPr>
              <w:pStyle w:val="a6"/>
              <w:spacing w:before="0" w:beforeAutospacing="0" w:after="0" w:afterAutospacing="0" w:line="360" w:lineRule="auto"/>
              <w:jc w:val="both"/>
              <w:rPr>
                <w:rStyle w:val="a7"/>
                <w:rFonts w:ascii="楷体_GB2312" w:eastAsia="楷体_GB2312"/>
                <w:b w:val="0"/>
              </w:rPr>
            </w:pPr>
            <w:r w:rsidRPr="00121D3C">
              <w:rPr>
                <w:rStyle w:val="a7"/>
                <w:rFonts w:ascii="楷体_GB2312" w:eastAsia="楷体_GB2312" w:hint="eastAsia"/>
              </w:rPr>
              <w:t>评价机构</w:t>
            </w:r>
          </w:p>
        </w:tc>
        <w:tc>
          <w:tcPr>
            <w:tcW w:w="6237" w:type="dxa"/>
          </w:tcPr>
          <w:p w:rsidR="007E077B" w:rsidRPr="00D930AF" w:rsidRDefault="00901272" w:rsidP="00D930AF">
            <w:pPr>
              <w:pStyle w:val="a6"/>
              <w:spacing w:before="0" w:beforeAutospacing="0" w:after="0" w:afterAutospacing="0" w:line="360" w:lineRule="auto"/>
              <w:ind w:firstLineChars="200" w:firstLine="420"/>
              <w:rPr>
                <w:rStyle w:val="a7"/>
                <w:rFonts w:asciiTheme="minorEastAsia" w:eastAsiaTheme="minorEastAsia" w:hAnsiTheme="minorEastAsia"/>
                <w:sz w:val="21"/>
                <w:szCs w:val="21"/>
              </w:rPr>
            </w:pPr>
            <w:r w:rsidRPr="00D930AF">
              <w:rPr>
                <w:rFonts w:asciiTheme="minorEastAsia" w:eastAsiaTheme="minorEastAsia" w:hAnsiTheme="minorEastAsia" w:hint="eastAsia"/>
                <w:sz w:val="21"/>
                <w:szCs w:val="21"/>
              </w:rPr>
              <w:t>上海玄钥管理咨询有限公司</w:t>
            </w:r>
          </w:p>
        </w:tc>
      </w:tr>
    </w:tbl>
    <w:p w:rsidR="007E077B" w:rsidRPr="00B24CB2" w:rsidRDefault="007E077B" w:rsidP="00D930AF">
      <w:pPr>
        <w:pStyle w:val="a6"/>
        <w:spacing w:before="0" w:beforeAutospacing="0" w:after="0" w:afterAutospacing="0" w:line="360" w:lineRule="auto"/>
      </w:pPr>
    </w:p>
    <w:p w:rsidR="007E077B" w:rsidRPr="008711A5" w:rsidRDefault="007E077B" w:rsidP="00D930AF">
      <w:pPr>
        <w:spacing w:line="360" w:lineRule="auto"/>
        <w:ind w:firstLineChars="200" w:firstLine="560"/>
        <w:rPr>
          <w:rFonts w:eastAsia="方正仿宋_GBK"/>
          <w:bCs/>
          <w:sz w:val="28"/>
          <w:szCs w:val="28"/>
        </w:rPr>
      </w:pPr>
    </w:p>
    <w:sectPr w:rsidR="007E077B" w:rsidRPr="008711A5" w:rsidSect="00E8238A">
      <w:headerReference w:type="default" r:id="rId7"/>
      <w:footerReference w:type="even" r:id="rId8"/>
      <w:pgSz w:w="11906" w:h="16838"/>
      <w:pgMar w:top="1091" w:right="1797" w:bottom="31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12" w:rsidRDefault="000B0812">
      <w:r>
        <w:separator/>
      </w:r>
    </w:p>
  </w:endnote>
  <w:endnote w:type="continuationSeparator" w:id="0">
    <w:p w:rsidR="000B0812" w:rsidRDefault="000B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黑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901272" w:rsidP="0071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4977" w:rsidRDefault="000B08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12" w:rsidRDefault="000B0812">
      <w:r>
        <w:separator/>
      </w:r>
    </w:p>
  </w:footnote>
  <w:footnote w:type="continuationSeparator" w:id="0">
    <w:p w:rsidR="000B0812" w:rsidRDefault="000B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0B0812" w:rsidP="007E308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7B"/>
    <w:rsid w:val="00083FEE"/>
    <w:rsid w:val="000B0812"/>
    <w:rsid w:val="001907A2"/>
    <w:rsid w:val="002A018B"/>
    <w:rsid w:val="002E7D42"/>
    <w:rsid w:val="002F6CAD"/>
    <w:rsid w:val="00353E0A"/>
    <w:rsid w:val="00371B0C"/>
    <w:rsid w:val="004262D6"/>
    <w:rsid w:val="00571A74"/>
    <w:rsid w:val="007976C2"/>
    <w:rsid w:val="007E077B"/>
    <w:rsid w:val="007E6947"/>
    <w:rsid w:val="00901272"/>
    <w:rsid w:val="00934202"/>
    <w:rsid w:val="009444E7"/>
    <w:rsid w:val="00A02D91"/>
    <w:rsid w:val="00C826AE"/>
    <w:rsid w:val="00CC2CAF"/>
    <w:rsid w:val="00D37DA9"/>
    <w:rsid w:val="00D75341"/>
    <w:rsid w:val="00D930AF"/>
    <w:rsid w:val="00EF75BD"/>
    <w:rsid w:val="00FC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7B"/>
    <w:pPr>
      <w:widowControl w:val="0"/>
      <w:jc w:val="both"/>
    </w:pPr>
    <w:rPr>
      <w:rFonts w:ascii="Times New Roman" w:eastAsia="宋体" w:hAnsi="Times New Roman" w:cs="Times New Roman"/>
      <w:szCs w:val="24"/>
    </w:rPr>
  </w:style>
  <w:style w:type="paragraph" w:styleId="2">
    <w:name w:val="heading 2"/>
    <w:basedOn w:val="a"/>
    <w:next w:val="a"/>
    <w:link w:val="2Char"/>
    <w:qFormat/>
    <w:rsid w:val="007E077B"/>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077B"/>
    <w:rPr>
      <w:rFonts w:ascii="Arial" w:eastAsia="黑体" w:hAnsi="Arial" w:cs="Times New Roman"/>
      <w:b/>
      <w:bCs/>
      <w:sz w:val="30"/>
      <w:szCs w:val="32"/>
    </w:rPr>
  </w:style>
  <w:style w:type="paragraph" w:styleId="a3">
    <w:name w:val="footer"/>
    <w:basedOn w:val="a"/>
    <w:link w:val="Char"/>
    <w:rsid w:val="007E077B"/>
    <w:pPr>
      <w:tabs>
        <w:tab w:val="center" w:pos="4153"/>
        <w:tab w:val="right" w:pos="8306"/>
      </w:tabs>
      <w:snapToGrid w:val="0"/>
      <w:jc w:val="left"/>
    </w:pPr>
    <w:rPr>
      <w:sz w:val="18"/>
      <w:szCs w:val="18"/>
    </w:rPr>
  </w:style>
  <w:style w:type="character" w:customStyle="1" w:styleId="Char">
    <w:name w:val="页脚 Char"/>
    <w:basedOn w:val="a0"/>
    <w:link w:val="a3"/>
    <w:rsid w:val="007E077B"/>
    <w:rPr>
      <w:rFonts w:ascii="Times New Roman" w:eastAsia="宋体" w:hAnsi="Times New Roman" w:cs="Times New Roman"/>
      <w:sz w:val="18"/>
      <w:szCs w:val="18"/>
    </w:rPr>
  </w:style>
  <w:style w:type="character" w:styleId="a4">
    <w:name w:val="page number"/>
    <w:basedOn w:val="a0"/>
    <w:rsid w:val="007E077B"/>
  </w:style>
  <w:style w:type="paragraph" w:styleId="a5">
    <w:name w:val="header"/>
    <w:basedOn w:val="a"/>
    <w:link w:val="Char0"/>
    <w:rsid w:val="007E07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E077B"/>
    <w:rPr>
      <w:rFonts w:ascii="Times New Roman" w:eastAsia="宋体" w:hAnsi="Times New Roman" w:cs="Times New Roman"/>
      <w:sz w:val="18"/>
      <w:szCs w:val="18"/>
    </w:rPr>
  </w:style>
  <w:style w:type="paragraph" w:styleId="a6">
    <w:name w:val="Normal (Web)"/>
    <w:basedOn w:val="a"/>
    <w:uiPriority w:val="99"/>
    <w:unhideWhenUsed/>
    <w:rsid w:val="007E077B"/>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7E0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7B"/>
    <w:pPr>
      <w:widowControl w:val="0"/>
      <w:jc w:val="both"/>
    </w:pPr>
    <w:rPr>
      <w:rFonts w:ascii="Times New Roman" w:eastAsia="宋体" w:hAnsi="Times New Roman" w:cs="Times New Roman"/>
      <w:szCs w:val="24"/>
    </w:rPr>
  </w:style>
  <w:style w:type="paragraph" w:styleId="2">
    <w:name w:val="heading 2"/>
    <w:basedOn w:val="a"/>
    <w:next w:val="a"/>
    <w:link w:val="2Char"/>
    <w:qFormat/>
    <w:rsid w:val="007E077B"/>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077B"/>
    <w:rPr>
      <w:rFonts w:ascii="Arial" w:eastAsia="黑体" w:hAnsi="Arial" w:cs="Times New Roman"/>
      <w:b/>
      <w:bCs/>
      <w:sz w:val="30"/>
      <w:szCs w:val="32"/>
    </w:rPr>
  </w:style>
  <w:style w:type="paragraph" w:styleId="a3">
    <w:name w:val="footer"/>
    <w:basedOn w:val="a"/>
    <w:link w:val="Char"/>
    <w:rsid w:val="007E077B"/>
    <w:pPr>
      <w:tabs>
        <w:tab w:val="center" w:pos="4153"/>
        <w:tab w:val="right" w:pos="8306"/>
      </w:tabs>
      <w:snapToGrid w:val="0"/>
      <w:jc w:val="left"/>
    </w:pPr>
    <w:rPr>
      <w:sz w:val="18"/>
      <w:szCs w:val="18"/>
    </w:rPr>
  </w:style>
  <w:style w:type="character" w:customStyle="1" w:styleId="Char">
    <w:name w:val="页脚 Char"/>
    <w:basedOn w:val="a0"/>
    <w:link w:val="a3"/>
    <w:rsid w:val="007E077B"/>
    <w:rPr>
      <w:rFonts w:ascii="Times New Roman" w:eastAsia="宋体" w:hAnsi="Times New Roman" w:cs="Times New Roman"/>
      <w:sz w:val="18"/>
      <w:szCs w:val="18"/>
    </w:rPr>
  </w:style>
  <w:style w:type="character" w:styleId="a4">
    <w:name w:val="page number"/>
    <w:basedOn w:val="a0"/>
    <w:rsid w:val="007E077B"/>
  </w:style>
  <w:style w:type="paragraph" w:styleId="a5">
    <w:name w:val="header"/>
    <w:basedOn w:val="a"/>
    <w:link w:val="Char0"/>
    <w:rsid w:val="007E07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E077B"/>
    <w:rPr>
      <w:rFonts w:ascii="Times New Roman" w:eastAsia="宋体" w:hAnsi="Times New Roman" w:cs="Times New Roman"/>
      <w:sz w:val="18"/>
      <w:szCs w:val="18"/>
    </w:rPr>
  </w:style>
  <w:style w:type="paragraph" w:styleId="a6">
    <w:name w:val="Normal (Web)"/>
    <w:basedOn w:val="a"/>
    <w:uiPriority w:val="99"/>
    <w:unhideWhenUsed/>
    <w:rsid w:val="007E077B"/>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7E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2016-12-21T02:18:00Z</dcterms:created>
  <dcterms:modified xsi:type="dcterms:W3CDTF">2016-12-23T01:03:00Z</dcterms:modified>
</cp:coreProperties>
</file>